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FD" w:rsidRPr="006D665D" w:rsidRDefault="00B12D44" w:rsidP="00B12D44">
      <w:pPr>
        <w:spacing w:before="240" w:line="360" w:lineRule="auto"/>
        <w:jc w:val="center"/>
        <w:rPr>
          <w:b/>
        </w:rPr>
      </w:pPr>
      <w:bookmarkStart w:id="0" w:name="_GoBack"/>
      <w:bookmarkEnd w:id="0"/>
      <w:r>
        <w:rPr>
          <w:b/>
          <w:noProof/>
          <w:lang w:val="en-US" w:eastAsia="en-US"/>
        </w:rPr>
        <w:drawing>
          <wp:inline distT="0" distB="0" distL="0" distR="0">
            <wp:extent cx="1095375" cy="11049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L 2.png"/>
                    <pic:cNvPicPr/>
                  </pic:nvPicPr>
                  <pic:blipFill>
                    <a:blip r:embed="rId7">
                      <a:extLst>
                        <a:ext uri="{BEBA8EAE-BF5A-486C-A8C5-ECC9F3942E4B}">
                          <a14:imgProps xmlns:a14="http://schemas.microsoft.com/office/drawing/2010/main">
                            <a14:imgLayer r:embed="rId8">
                              <a14:imgEffect>
                                <a14:sharpenSoften amount="83000"/>
                              </a14:imgEffect>
                            </a14:imgLayer>
                          </a14:imgProps>
                        </a:ext>
                        <a:ext uri="{28A0092B-C50C-407E-A947-70E740481C1C}">
                          <a14:useLocalDpi xmlns:a14="http://schemas.microsoft.com/office/drawing/2010/main" val="0"/>
                        </a:ext>
                      </a:extLst>
                    </a:blip>
                    <a:stretch>
                      <a:fillRect/>
                    </a:stretch>
                  </pic:blipFill>
                  <pic:spPr>
                    <a:xfrm>
                      <a:off x="0" y="0"/>
                      <a:ext cx="1095375" cy="1104900"/>
                    </a:xfrm>
                    <a:prstGeom prst="rect">
                      <a:avLst/>
                    </a:prstGeom>
                  </pic:spPr>
                </pic:pic>
              </a:graphicData>
            </a:graphic>
          </wp:inline>
        </w:drawing>
      </w:r>
    </w:p>
    <w:p w:rsidR="005C11FD" w:rsidRPr="006D665D" w:rsidRDefault="005C11FD" w:rsidP="009D235C">
      <w:pPr>
        <w:pStyle w:val="Default"/>
        <w:jc w:val="center"/>
      </w:pPr>
    </w:p>
    <w:p w:rsidR="005C11FD" w:rsidRPr="009D235C" w:rsidRDefault="005C11FD" w:rsidP="009D235C">
      <w:pPr>
        <w:pStyle w:val="Default"/>
        <w:jc w:val="center"/>
        <w:rPr>
          <w:b/>
        </w:rPr>
      </w:pPr>
      <w:r w:rsidRPr="009D235C">
        <w:rPr>
          <w:b/>
        </w:rPr>
        <w:t>ACUERDO REGIONAL DE COOPERACIÓN PARA LA PROMOCIÓN DE LA CIENCIA Y TECNOLOGÍA NUCLEARES EN AMÉRICA LATINA Y EL CARIBE</w:t>
      </w:r>
    </w:p>
    <w:p w:rsidR="005C11FD" w:rsidRDefault="005C11FD" w:rsidP="005C11FD">
      <w:pPr>
        <w:pStyle w:val="Default"/>
        <w:rPr>
          <w:b/>
        </w:rPr>
      </w:pPr>
    </w:p>
    <w:p w:rsidR="002E4516" w:rsidRDefault="002E4516" w:rsidP="005C11FD">
      <w:pPr>
        <w:spacing w:before="240" w:line="360" w:lineRule="auto"/>
        <w:rPr>
          <w:b/>
          <w:sz w:val="28"/>
          <w:szCs w:val="28"/>
        </w:rPr>
      </w:pPr>
      <w:r>
        <w:rPr>
          <w:b/>
          <w:sz w:val="28"/>
          <w:szCs w:val="28"/>
        </w:rPr>
        <w:t>Anexo IV</w:t>
      </w:r>
    </w:p>
    <w:p w:rsidR="005C11FD" w:rsidRPr="00054383" w:rsidRDefault="005C11FD" w:rsidP="005C11FD">
      <w:pPr>
        <w:spacing w:before="240" w:line="360" w:lineRule="auto"/>
        <w:rPr>
          <w:b/>
          <w:sz w:val="28"/>
          <w:szCs w:val="28"/>
        </w:rPr>
      </w:pPr>
      <w:r w:rsidRPr="00054383">
        <w:rPr>
          <w:b/>
          <w:sz w:val="28"/>
          <w:szCs w:val="28"/>
        </w:rPr>
        <w:t>Formulario para Presentación de Propuesta de Proyecto</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92"/>
        <w:gridCol w:w="408"/>
        <w:gridCol w:w="2053"/>
        <w:gridCol w:w="993"/>
        <w:gridCol w:w="1249"/>
        <w:gridCol w:w="700"/>
      </w:tblGrid>
      <w:tr w:rsidR="005C11FD" w:rsidRPr="006D665D" w:rsidTr="008F7BC4">
        <w:trPr>
          <w:trHeight w:val="256"/>
        </w:trPr>
        <w:tc>
          <w:tcPr>
            <w:tcW w:w="2127" w:type="dxa"/>
            <w:hideMark/>
          </w:tcPr>
          <w:p w:rsidR="005C11FD" w:rsidRPr="006D665D" w:rsidRDefault="005C11FD" w:rsidP="008F7BC4">
            <w:pPr>
              <w:jc w:val="left"/>
            </w:pPr>
            <w:r w:rsidRPr="006D665D">
              <w:rPr>
                <w:b/>
                <w:sz w:val="18"/>
              </w:rPr>
              <w:t>Región</w:t>
            </w:r>
          </w:p>
        </w:tc>
        <w:tc>
          <w:tcPr>
            <w:tcW w:w="7195" w:type="dxa"/>
            <w:gridSpan w:val="6"/>
            <w:hideMark/>
          </w:tcPr>
          <w:p w:rsidR="005C11FD" w:rsidRPr="00C11309" w:rsidRDefault="00C11309" w:rsidP="00C11309">
            <w:r w:rsidRPr="00C11309">
              <w:rPr>
                <w:sz w:val="20"/>
                <w:szCs w:val="24"/>
              </w:rPr>
              <w:t>Latinoamérica y el Caribe</w:t>
            </w:r>
          </w:p>
        </w:tc>
      </w:tr>
      <w:tr w:rsidR="005C11FD" w:rsidRPr="006D665D" w:rsidTr="008F7BC4">
        <w:trPr>
          <w:trHeight w:val="360"/>
        </w:trPr>
        <w:tc>
          <w:tcPr>
            <w:tcW w:w="2127" w:type="dxa"/>
          </w:tcPr>
          <w:p w:rsidR="005C11FD" w:rsidRPr="006D665D" w:rsidRDefault="005C11FD" w:rsidP="008F7BC4">
            <w:pPr>
              <w:jc w:val="left"/>
            </w:pPr>
            <w:r w:rsidRPr="006D665D">
              <w:rPr>
                <w:b/>
                <w:sz w:val="18"/>
              </w:rPr>
              <w:t xml:space="preserve">Acuerdo regional/de cooperación </w:t>
            </w:r>
            <w:r w:rsidRPr="006D665D">
              <w:rPr>
                <w:sz w:val="18"/>
              </w:rPr>
              <w:t>(si procede)</w:t>
            </w:r>
          </w:p>
        </w:tc>
        <w:tc>
          <w:tcPr>
            <w:tcW w:w="2200" w:type="dxa"/>
            <w:gridSpan w:val="2"/>
          </w:tcPr>
          <w:p w:rsidR="005C11FD" w:rsidRPr="006D665D" w:rsidRDefault="005C11FD" w:rsidP="008F7BC4"/>
        </w:tc>
        <w:tc>
          <w:tcPr>
            <w:tcW w:w="4295" w:type="dxa"/>
            <w:gridSpan w:val="3"/>
          </w:tcPr>
          <w:p w:rsidR="005C11FD" w:rsidRPr="006D665D" w:rsidRDefault="005C11FD" w:rsidP="008F7BC4">
            <w:r w:rsidRPr="006D665D">
              <w:rPr>
                <w:b/>
                <w:sz w:val="18"/>
              </w:rPr>
              <w:t xml:space="preserve">Nº de prioridad otorgado por el acuerdo regional/de cooperación </w:t>
            </w:r>
            <w:r w:rsidRPr="006D665D">
              <w:rPr>
                <w:sz w:val="18"/>
              </w:rPr>
              <w:t>(para conceptos propuestos bajo los auspicios de los acuerdos regionales/de cooperación)</w:t>
            </w:r>
          </w:p>
        </w:tc>
        <w:tc>
          <w:tcPr>
            <w:tcW w:w="700" w:type="dxa"/>
          </w:tcPr>
          <w:p w:rsidR="005C11FD" w:rsidRPr="006D665D" w:rsidRDefault="005C11FD" w:rsidP="008F7BC4"/>
        </w:tc>
      </w:tr>
      <w:tr w:rsidR="005C11FD" w:rsidRPr="006D665D" w:rsidTr="008F7BC4">
        <w:trPr>
          <w:trHeight w:val="90"/>
        </w:trPr>
        <w:tc>
          <w:tcPr>
            <w:tcW w:w="2127" w:type="dxa"/>
            <w:shd w:val="clear" w:color="auto" w:fill="D9D9D9"/>
            <w:hideMark/>
          </w:tcPr>
          <w:p w:rsidR="005C11FD" w:rsidRPr="006D665D" w:rsidRDefault="005C11FD" w:rsidP="008F7BC4">
            <w:pPr>
              <w:jc w:val="left"/>
              <w:rPr>
                <w:sz w:val="12"/>
              </w:rPr>
            </w:pPr>
          </w:p>
        </w:tc>
        <w:tc>
          <w:tcPr>
            <w:tcW w:w="2200" w:type="dxa"/>
            <w:gridSpan w:val="2"/>
            <w:shd w:val="clear" w:color="auto" w:fill="D9D9D9"/>
            <w:hideMark/>
          </w:tcPr>
          <w:p w:rsidR="005C11FD" w:rsidRPr="006D665D" w:rsidRDefault="005C11FD" w:rsidP="008F7BC4">
            <w:pPr>
              <w:rPr>
                <w:sz w:val="12"/>
              </w:rPr>
            </w:pPr>
          </w:p>
        </w:tc>
        <w:tc>
          <w:tcPr>
            <w:tcW w:w="4295" w:type="dxa"/>
            <w:gridSpan w:val="3"/>
            <w:shd w:val="clear" w:color="auto" w:fill="D9D9D9"/>
          </w:tcPr>
          <w:p w:rsidR="005C11FD" w:rsidRPr="006D665D" w:rsidRDefault="005C11FD" w:rsidP="008F7BC4">
            <w:pPr>
              <w:rPr>
                <w:sz w:val="12"/>
              </w:rPr>
            </w:pPr>
          </w:p>
        </w:tc>
        <w:tc>
          <w:tcPr>
            <w:tcW w:w="700" w:type="dxa"/>
            <w:shd w:val="clear" w:color="auto" w:fill="D9D9D9"/>
          </w:tcPr>
          <w:p w:rsidR="005C11FD" w:rsidRPr="006D665D" w:rsidRDefault="005C11FD" w:rsidP="008F7BC4">
            <w:pPr>
              <w:rPr>
                <w:sz w:val="12"/>
              </w:rPr>
            </w:pPr>
          </w:p>
        </w:tc>
      </w:tr>
      <w:tr w:rsidR="005C11FD" w:rsidRPr="006D665D" w:rsidTr="008F7BC4">
        <w:trPr>
          <w:trHeight w:val="272"/>
        </w:trPr>
        <w:tc>
          <w:tcPr>
            <w:tcW w:w="2127" w:type="dxa"/>
            <w:hideMark/>
          </w:tcPr>
          <w:p w:rsidR="005C11FD" w:rsidRPr="006D665D" w:rsidRDefault="005C11FD" w:rsidP="008F7BC4">
            <w:pPr>
              <w:jc w:val="left"/>
            </w:pPr>
            <w:r w:rsidRPr="006D665D">
              <w:rPr>
                <w:b/>
                <w:sz w:val="18"/>
              </w:rPr>
              <w:t>Título</w:t>
            </w:r>
          </w:p>
        </w:tc>
        <w:tc>
          <w:tcPr>
            <w:tcW w:w="7195" w:type="dxa"/>
            <w:gridSpan w:val="6"/>
          </w:tcPr>
          <w:p w:rsidR="00855078" w:rsidRDefault="00855078" w:rsidP="008F7BC4"/>
          <w:p w:rsidR="005C11FD" w:rsidRDefault="007A71D4" w:rsidP="008F7BC4">
            <w:r>
              <w:t>FORTALECIMIENTO DE LAS CAPACIDADES DE LABORATORIOS DE LA REGIÓN PARA EVALUAR LA CALIDAD E INOCUIDAD DE ALIMENTOS PRODUCIDOS POR INDUCCIÓN DE MUTACIONES</w:t>
            </w:r>
          </w:p>
          <w:p w:rsidR="005C11FD" w:rsidRPr="006D665D" w:rsidRDefault="005C11FD" w:rsidP="008F7BC4"/>
        </w:tc>
      </w:tr>
      <w:tr w:rsidR="005C11FD" w:rsidRPr="006D665D" w:rsidTr="008F7BC4">
        <w:trPr>
          <w:trHeight w:val="64"/>
        </w:trPr>
        <w:tc>
          <w:tcPr>
            <w:tcW w:w="2127" w:type="dxa"/>
            <w:shd w:val="clear" w:color="auto" w:fill="D9D9D9"/>
            <w:hideMark/>
          </w:tcPr>
          <w:p w:rsidR="005C11FD" w:rsidRPr="006D665D" w:rsidRDefault="005C11FD" w:rsidP="008F7BC4">
            <w:pPr>
              <w:jc w:val="left"/>
              <w:rPr>
                <w:b/>
                <w:sz w:val="16"/>
              </w:rPr>
            </w:pPr>
          </w:p>
        </w:tc>
        <w:tc>
          <w:tcPr>
            <w:tcW w:w="7195" w:type="dxa"/>
            <w:gridSpan w:val="6"/>
            <w:shd w:val="clear" w:color="auto" w:fill="D9D9D9"/>
            <w:hideMark/>
          </w:tcPr>
          <w:p w:rsidR="005C11FD" w:rsidRPr="007A71D4" w:rsidRDefault="005C11FD" w:rsidP="008F7BC4">
            <w:pPr>
              <w:rPr>
                <w:sz w:val="10"/>
                <w:szCs w:val="10"/>
              </w:rPr>
            </w:pPr>
          </w:p>
        </w:tc>
      </w:tr>
      <w:tr w:rsidR="005C11FD" w:rsidRPr="006D665D" w:rsidTr="008F7BC4">
        <w:trPr>
          <w:trHeight w:val="222"/>
        </w:trPr>
        <w:tc>
          <w:tcPr>
            <w:tcW w:w="2127" w:type="dxa"/>
            <w:hideMark/>
          </w:tcPr>
          <w:p w:rsidR="005C11FD" w:rsidRPr="006D665D" w:rsidRDefault="005C11FD" w:rsidP="008F7BC4">
            <w:pPr>
              <w:jc w:val="left"/>
            </w:pPr>
            <w:r w:rsidRPr="006D665D">
              <w:rPr>
                <w:b/>
                <w:sz w:val="18"/>
              </w:rPr>
              <w:t>Esfera de actividad</w:t>
            </w:r>
          </w:p>
        </w:tc>
        <w:tc>
          <w:tcPr>
            <w:tcW w:w="7195" w:type="dxa"/>
            <w:gridSpan w:val="6"/>
          </w:tcPr>
          <w:p w:rsidR="005C11FD" w:rsidRDefault="007A71D4" w:rsidP="008F7BC4">
            <w:r>
              <w:t>Seguridad alimentaria</w:t>
            </w:r>
          </w:p>
          <w:p w:rsidR="005C11FD" w:rsidRPr="006D665D" w:rsidRDefault="005C11FD" w:rsidP="008F7BC4"/>
        </w:tc>
      </w:tr>
      <w:tr w:rsidR="005C11FD" w:rsidRPr="001025E6" w:rsidTr="008F7BC4">
        <w:trPr>
          <w:trHeight w:val="222"/>
        </w:trPr>
        <w:tc>
          <w:tcPr>
            <w:tcW w:w="2127" w:type="dxa"/>
          </w:tcPr>
          <w:p w:rsidR="005C11FD" w:rsidRPr="006D665D" w:rsidRDefault="005C11FD" w:rsidP="008F7BC4">
            <w:pPr>
              <w:jc w:val="left"/>
            </w:pPr>
            <w:r w:rsidRPr="006D665D">
              <w:rPr>
                <w:b/>
                <w:sz w:val="18"/>
              </w:rPr>
              <w:t>Nombres y datos</w:t>
            </w:r>
            <w:r w:rsidR="007A71D4">
              <w:rPr>
                <w:b/>
                <w:sz w:val="18"/>
              </w:rPr>
              <w:t xml:space="preserve"> </w:t>
            </w:r>
            <w:r w:rsidRPr="006D665D">
              <w:rPr>
                <w:b/>
                <w:sz w:val="18"/>
              </w:rPr>
              <w:t>de contacto de las contrapartes del proyecto y las instituciones de contraparte (comenzando con</w:t>
            </w:r>
            <w:r w:rsidR="007A71D4">
              <w:rPr>
                <w:b/>
                <w:sz w:val="18"/>
              </w:rPr>
              <w:t xml:space="preserve"> </w:t>
            </w:r>
            <w:r w:rsidRPr="006D665D">
              <w:rPr>
                <w:b/>
                <w:sz w:val="18"/>
              </w:rPr>
              <w:t>la contraparte principal)</w:t>
            </w:r>
          </w:p>
        </w:tc>
        <w:tc>
          <w:tcPr>
            <w:tcW w:w="7195" w:type="dxa"/>
            <w:gridSpan w:val="6"/>
          </w:tcPr>
          <w:p w:rsidR="00855078" w:rsidRDefault="00855078" w:rsidP="008F7BC4">
            <w:pPr>
              <w:rPr>
                <w:lang w:val="es-PY"/>
              </w:rPr>
            </w:pPr>
          </w:p>
          <w:p w:rsidR="005C11FD" w:rsidRPr="005E22B1" w:rsidRDefault="008B447B" w:rsidP="008F7BC4">
            <w:pPr>
              <w:rPr>
                <w:lang w:val="es-PY"/>
              </w:rPr>
            </w:pPr>
            <w:r w:rsidRPr="008B2E02">
              <w:rPr>
                <w:lang w:val="es-PY"/>
              </w:rPr>
              <w:t xml:space="preserve">1. Héctor David </w:t>
            </w:r>
            <w:proofErr w:type="spellStart"/>
            <w:r w:rsidRPr="008B2E02">
              <w:rPr>
                <w:lang w:val="es-PY"/>
              </w:rPr>
              <w:t>Nakayama</w:t>
            </w:r>
            <w:proofErr w:type="spellEnd"/>
            <w:r w:rsidRPr="008B2E02">
              <w:rPr>
                <w:lang w:val="es-PY"/>
              </w:rPr>
              <w:t xml:space="preserve"> </w:t>
            </w:r>
            <w:proofErr w:type="spellStart"/>
            <w:r w:rsidRPr="008B2E02">
              <w:rPr>
                <w:lang w:val="es-PY"/>
              </w:rPr>
              <w:t>Nakashima</w:t>
            </w:r>
            <w:proofErr w:type="spellEnd"/>
            <w:r w:rsidRPr="008B2E02">
              <w:rPr>
                <w:lang w:val="es-PY"/>
              </w:rPr>
              <w:t xml:space="preserve">. CEMIT-DGICT-Universidad Nacional de Asunción, </w:t>
            </w:r>
            <w:r w:rsidR="00EE5BF2" w:rsidRPr="008B2E02">
              <w:rPr>
                <w:lang w:val="es-PY"/>
              </w:rPr>
              <w:t>PARAGUAY</w:t>
            </w:r>
            <w:r w:rsidRPr="008B2E02">
              <w:rPr>
                <w:lang w:val="es-PY"/>
              </w:rPr>
              <w:t xml:space="preserve">. Tel: +595-981-985387. </w:t>
            </w:r>
            <w:r w:rsidRPr="005E22B1">
              <w:rPr>
                <w:lang w:val="es-PY"/>
              </w:rPr>
              <w:t xml:space="preserve">E-mail: hnakayama@rec.una.py, </w:t>
            </w:r>
            <w:r w:rsidR="005E22B1" w:rsidRPr="005E22B1">
              <w:rPr>
                <w:lang w:val="es-PY"/>
              </w:rPr>
              <w:t>hector.david.py@gmail.com (Coordinad</w:t>
            </w:r>
            <w:r w:rsidR="005E22B1">
              <w:rPr>
                <w:lang w:val="es-PY"/>
              </w:rPr>
              <w:t>or Regional)</w:t>
            </w:r>
          </w:p>
          <w:p w:rsidR="004B5623" w:rsidRPr="005E22B1" w:rsidRDefault="004B5623" w:rsidP="008B447B">
            <w:pPr>
              <w:rPr>
                <w:lang w:val="es-PY"/>
              </w:rPr>
            </w:pPr>
          </w:p>
          <w:p w:rsidR="008B447B" w:rsidRPr="008B2E02" w:rsidRDefault="008B447B" w:rsidP="008B447B">
            <w:r w:rsidRPr="008B2E02">
              <w:rPr>
                <w:lang w:val="es-PY"/>
              </w:rPr>
              <w:t xml:space="preserve">2. </w:t>
            </w:r>
            <w:r w:rsidRPr="008B2E02">
              <w:t xml:space="preserve">Alejandra </w:t>
            </w:r>
            <w:proofErr w:type="spellStart"/>
            <w:r w:rsidRPr="008B2E02">
              <w:t>Landau</w:t>
            </w:r>
            <w:proofErr w:type="spellEnd"/>
            <w:r w:rsidRPr="008B2E02">
              <w:t xml:space="preserve">. </w:t>
            </w:r>
            <w:proofErr w:type="spellStart"/>
            <w:r w:rsidRPr="008B2E02">
              <w:t>Nicolas</w:t>
            </w:r>
            <w:proofErr w:type="spellEnd"/>
            <w:r w:rsidRPr="008B2E02">
              <w:t xml:space="preserve"> </w:t>
            </w:r>
            <w:proofErr w:type="spellStart"/>
            <w:r w:rsidRPr="008B2E02">
              <w:t>Repetto</w:t>
            </w:r>
            <w:proofErr w:type="spellEnd"/>
            <w:r w:rsidRPr="008B2E02">
              <w:t xml:space="preserve"> y De los Reseros S/N 1686 </w:t>
            </w:r>
            <w:proofErr w:type="spellStart"/>
            <w:r w:rsidRPr="008B2E02">
              <w:t>Hurlingham</w:t>
            </w:r>
            <w:proofErr w:type="spellEnd"/>
            <w:r w:rsidRPr="008B2E02">
              <w:t>, Buenos Aires ARGENTINA. Tel.: 54 11 44501876 - Fax: 54 11 4459 8372. E-Mail: landau.alejandra@inta.gob.ar</w:t>
            </w:r>
          </w:p>
          <w:p w:rsidR="008B447B" w:rsidRPr="008B2E02" w:rsidRDefault="00057E84" w:rsidP="008B447B">
            <w:r w:rsidRPr="008B2E02">
              <w:rPr>
                <w:lang w:val="es-PY"/>
              </w:rPr>
              <w:t xml:space="preserve">3. </w:t>
            </w:r>
            <w:r w:rsidRPr="008B2E02">
              <w:t>Edgar Gómez Villalba. Instituto Boliviano de Ciencia y Tecnología Nuclear (IBTEN). Casilla 4821, Avenida 6 de agosto 2905. La Paz, Bolivia. Tel.: 59122 2433481 - Fax: 59122 2433063. E-Mail: gomez_edy@yahoo.com.</w:t>
            </w:r>
          </w:p>
          <w:p w:rsidR="00057E84" w:rsidRPr="008B2E02" w:rsidRDefault="00057E84" w:rsidP="00C40DC0">
            <w:r w:rsidRPr="008B2E02">
              <w:rPr>
                <w:lang w:val="es-PY"/>
              </w:rPr>
              <w:t xml:space="preserve">4. </w:t>
            </w:r>
            <w:r w:rsidR="00C40DC0" w:rsidRPr="008B2E02">
              <w:t xml:space="preserve">Alexander de Andrade. </w:t>
            </w:r>
            <w:proofErr w:type="spellStart"/>
            <w:r w:rsidR="00C40DC0" w:rsidRPr="008B2E02">
              <w:t>Estação</w:t>
            </w:r>
            <w:proofErr w:type="spellEnd"/>
            <w:r w:rsidR="00C40DC0" w:rsidRPr="008B2E02">
              <w:t xml:space="preserve"> Experimental de </w:t>
            </w:r>
            <w:proofErr w:type="spellStart"/>
            <w:r w:rsidR="00C40DC0" w:rsidRPr="008B2E02">
              <w:t>Itajai</w:t>
            </w:r>
            <w:proofErr w:type="spellEnd"/>
            <w:r w:rsidR="00C40DC0" w:rsidRPr="008B2E02">
              <w:t xml:space="preserve">; Empresa de Pesquisa Agropecuaria e </w:t>
            </w:r>
            <w:proofErr w:type="spellStart"/>
            <w:r w:rsidR="00C40DC0" w:rsidRPr="008B2E02">
              <w:t>Extensão</w:t>
            </w:r>
            <w:proofErr w:type="spellEnd"/>
            <w:r w:rsidR="00C40DC0" w:rsidRPr="008B2E02">
              <w:t xml:space="preserve"> Rural de Santa Catarina (EPAGRI). </w:t>
            </w:r>
            <w:proofErr w:type="spellStart"/>
            <w:r w:rsidR="00C40DC0" w:rsidRPr="008B2E02">
              <w:t>Rodoviaria</w:t>
            </w:r>
            <w:proofErr w:type="spellEnd"/>
            <w:r w:rsidR="00C40DC0" w:rsidRPr="008B2E02">
              <w:t xml:space="preserve"> Antonio </w:t>
            </w:r>
            <w:proofErr w:type="spellStart"/>
            <w:r w:rsidR="00C40DC0" w:rsidRPr="008B2E02">
              <w:t>Heil</w:t>
            </w:r>
            <w:proofErr w:type="spellEnd"/>
            <w:r w:rsidR="00C40DC0" w:rsidRPr="008B2E02">
              <w:t xml:space="preserve">, Km 6, SC 486. 88301-970 </w:t>
            </w:r>
            <w:proofErr w:type="spellStart"/>
            <w:r w:rsidR="00C40DC0" w:rsidRPr="008B2E02">
              <w:t>Itajai</w:t>
            </w:r>
            <w:proofErr w:type="spellEnd"/>
            <w:r w:rsidR="00C40DC0" w:rsidRPr="008B2E02">
              <w:t>, SC, Brasil. Tel.: 0055 47 3341 5244 - Fax: 0055 47 3341 5255. E-Mail: alexanderandrade@epagri.sc.gov.br</w:t>
            </w:r>
          </w:p>
          <w:p w:rsidR="00C40DC0" w:rsidRPr="008B2E02" w:rsidRDefault="00C40DC0" w:rsidP="000656C1">
            <w:r w:rsidRPr="008B2E02">
              <w:rPr>
                <w:lang w:val="es-PY"/>
              </w:rPr>
              <w:t xml:space="preserve">5. </w:t>
            </w:r>
            <w:r w:rsidR="008B2E02">
              <w:t>Luis Armando Quevedo Cá</w:t>
            </w:r>
            <w:r w:rsidR="000656C1" w:rsidRPr="008B2E02">
              <w:t>rdenas. Grupo de Biología Molecular; Universidad Distrital Francisco José de Caldas. Carrera 4 No. 26 A 54; Edificio de Laboratorios de Biología Piso 2. 1001 Bogotá D.C., Colombia. Tel.: 0057 1 3375130 - Fax: 0057 1 3419619. E-Mail: biomolc@gmail.com</w:t>
            </w:r>
          </w:p>
          <w:p w:rsidR="000656C1" w:rsidRPr="008B2E02" w:rsidRDefault="000656C1" w:rsidP="000656C1">
            <w:r w:rsidRPr="008B2E02">
              <w:rPr>
                <w:lang w:val="es-PY"/>
              </w:rPr>
              <w:t xml:space="preserve">6. </w:t>
            </w:r>
            <w:r w:rsidRPr="008B2E02">
              <w:t>Juan F</w:t>
            </w:r>
            <w:r w:rsidR="008B2E02">
              <w:t>é</w:t>
            </w:r>
            <w:r w:rsidRPr="008B2E02">
              <w:t>lix Arg</w:t>
            </w:r>
            <w:r w:rsidR="008B2E02">
              <w:t>ü</w:t>
            </w:r>
            <w:r w:rsidRPr="008B2E02">
              <w:t xml:space="preserve">ello Delgado. Universidad Nacional de Costa Rica. Apartado Postal 86, Heredia 3000. COSTA RICA. </w:t>
            </w:r>
            <w:r w:rsidRPr="008B2E02">
              <w:br/>
            </w:r>
            <w:r w:rsidRPr="008B2E02">
              <w:lastRenderedPageBreak/>
              <w:t>Tel.: 00506 2277 3470. E-Mail: jarguell@una.ac.cr</w:t>
            </w:r>
          </w:p>
          <w:p w:rsidR="000656C1" w:rsidRPr="008B2E02" w:rsidRDefault="009B4429" w:rsidP="0053636E">
            <w:r w:rsidRPr="008B2E02">
              <w:rPr>
                <w:lang w:val="es-PY"/>
              </w:rPr>
              <w:t>7.</w:t>
            </w:r>
            <w:r w:rsidR="00E37D9D" w:rsidRPr="008B2E02">
              <w:rPr>
                <w:lang w:val="es-PY"/>
              </w:rPr>
              <w:t xml:space="preserve"> </w:t>
            </w:r>
            <w:r w:rsidRPr="008B2E02">
              <w:rPr>
                <w:lang w:val="es-PY"/>
              </w:rPr>
              <w:t xml:space="preserve"> </w:t>
            </w:r>
            <w:r w:rsidR="00E37D9D" w:rsidRPr="008B2E02">
              <w:t>María</w:t>
            </w:r>
            <w:r w:rsidRPr="008B2E02">
              <w:t xml:space="preserve"> Caridad </w:t>
            </w:r>
            <w:r w:rsidR="0053636E" w:rsidRPr="008B2E02">
              <w:t xml:space="preserve">González </w:t>
            </w:r>
            <w:proofErr w:type="spellStart"/>
            <w:r w:rsidR="0053636E" w:rsidRPr="008B2E02">
              <w:t>Cepero</w:t>
            </w:r>
            <w:proofErr w:type="spellEnd"/>
            <w:r w:rsidR="0053636E" w:rsidRPr="008B2E02">
              <w:t xml:space="preserve">. </w:t>
            </w:r>
            <w:r w:rsidRPr="008B2E02">
              <w:t>Instituto Nacional de Ciencias</w:t>
            </w:r>
            <w:r w:rsidR="0053636E" w:rsidRPr="008B2E02">
              <w:t xml:space="preserve"> Agrícolas. C</w:t>
            </w:r>
            <w:r w:rsidRPr="008B2E02">
              <w:t>arretera de Tapaste</w:t>
            </w:r>
            <w:r w:rsidR="0053636E" w:rsidRPr="008B2E02">
              <w:t xml:space="preserve">. </w:t>
            </w:r>
            <w:r w:rsidRPr="008B2E02">
              <w:t>32700 La Habana</w:t>
            </w:r>
            <w:r w:rsidR="0053636E" w:rsidRPr="008B2E02">
              <w:t xml:space="preserve">. </w:t>
            </w:r>
            <w:r w:rsidRPr="008B2E02">
              <w:t>CUBA</w:t>
            </w:r>
            <w:r w:rsidR="0053636E" w:rsidRPr="008B2E02">
              <w:t>.</w:t>
            </w:r>
            <w:r w:rsidRPr="008B2E02">
              <w:br/>
              <w:t>Tel.: 0053 47 861274</w:t>
            </w:r>
            <w:r w:rsidR="0053636E" w:rsidRPr="008B2E02">
              <w:t xml:space="preserve"> - Fax: 0053 7 6463867. </w:t>
            </w:r>
            <w:r w:rsidRPr="008B2E02">
              <w:t>E</w:t>
            </w:r>
            <w:r w:rsidR="0053636E" w:rsidRPr="008B2E02">
              <w:t>-</w:t>
            </w:r>
            <w:r w:rsidRPr="008B2E02">
              <w:t>Mail: mcaridad09@yahoo.es</w:t>
            </w:r>
          </w:p>
          <w:p w:rsidR="00EE5BF2" w:rsidRPr="008B2E02" w:rsidRDefault="0053636E" w:rsidP="00E37D9D">
            <w:pPr>
              <w:rPr>
                <w:lang w:val="es-PY"/>
              </w:rPr>
            </w:pPr>
            <w:r w:rsidRPr="008B2E02">
              <w:rPr>
                <w:lang w:val="es-PY"/>
              </w:rPr>
              <w:t xml:space="preserve">8. </w:t>
            </w:r>
            <w:r w:rsidR="00EE5BF2" w:rsidRPr="008B2E02">
              <w:rPr>
                <w:lang w:val="es-PY"/>
              </w:rPr>
              <w:t xml:space="preserve">Javier Alberto </w:t>
            </w:r>
            <w:proofErr w:type="spellStart"/>
            <w:r w:rsidR="00EE5BF2" w:rsidRPr="008B2E02">
              <w:rPr>
                <w:lang w:val="es-PY"/>
              </w:rPr>
              <w:t>Garófalo</w:t>
            </w:r>
            <w:proofErr w:type="spellEnd"/>
            <w:r w:rsidR="00EE5BF2" w:rsidRPr="008B2E02">
              <w:rPr>
                <w:lang w:val="es-PY"/>
              </w:rPr>
              <w:t xml:space="preserve"> Sosa. Instituto nacional Autónomo de Investigaciones Agropecuarias (INIAP). Apartado 17-01-</w:t>
            </w:r>
            <w:r w:rsidR="00921D27" w:rsidRPr="008B2E02">
              <w:rPr>
                <w:lang w:val="es-PY"/>
              </w:rPr>
              <w:t>340. Panamericana Sur Km1. Edificio del Magisterio de Agricultura 4to. Piso. Quito, ECUADOR. Tel.: +593-99-5663863. E-Mail: javier.garofalo@iniap.gob.ec</w:t>
            </w:r>
          </w:p>
          <w:p w:rsidR="00EE5BF2" w:rsidRPr="008B2E02" w:rsidRDefault="00EE5BF2" w:rsidP="00E37D9D">
            <w:pPr>
              <w:rPr>
                <w:lang w:val="es-PY"/>
              </w:rPr>
            </w:pPr>
            <w:r w:rsidRPr="008B2E02">
              <w:rPr>
                <w:lang w:val="es-PY"/>
              </w:rPr>
              <w:t>9.</w:t>
            </w:r>
            <w:r w:rsidR="00921D27" w:rsidRPr="008B2E02">
              <w:rPr>
                <w:lang w:val="es-PY"/>
              </w:rPr>
              <w:t xml:space="preserve"> </w:t>
            </w:r>
            <w:r w:rsidR="00881AFF" w:rsidRPr="008B2E02">
              <w:rPr>
                <w:lang w:val="es-ES_tradnl"/>
              </w:rPr>
              <w:t>Mario Antonio Orellana Núñez. Facultad de Ciencias Agronómicas</w:t>
            </w:r>
            <w:r w:rsidR="00881AFF" w:rsidRPr="008B2E02">
              <w:rPr>
                <w:lang w:val="es-ES_tradnl"/>
              </w:rPr>
              <w:br/>
              <w:t>Universidad de El Salvador</w:t>
            </w:r>
            <w:r w:rsidR="0084601D">
              <w:rPr>
                <w:lang w:val="es-ES_tradnl"/>
              </w:rPr>
              <w:t xml:space="preserve">. </w:t>
            </w:r>
            <w:r w:rsidR="00881AFF" w:rsidRPr="008B2E02">
              <w:rPr>
                <w:lang w:val="es-ES_tradnl"/>
              </w:rPr>
              <w:t xml:space="preserve">Fitotecnia, Apartado Postal 747, San Salvador, EL SALVADOR. Tel.: 00503 22261506 - Fax: 00503 22262043. E-Mail: </w:t>
            </w:r>
            <w:r w:rsidR="008B2E02" w:rsidRPr="008B2E02">
              <w:rPr>
                <w:lang w:val="es-ES_tradnl"/>
              </w:rPr>
              <w:t>ma</w:t>
            </w:r>
            <w:r w:rsidR="00881AFF" w:rsidRPr="008B2E02">
              <w:rPr>
                <w:lang w:val="es-ES_tradnl"/>
              </w:rPr>
              <w:t>orellan@</w:t>
            </w:r>
            <w:r w:rsidR="008B2E02" w:rsidRPr="008B2E02">
              <w:rPr>
                <w:lang w:val="es-ES_tradnl"/>
              </w:rPr>
              <w:t>gmail</w:t>
            </w:r>
            <w:r w:rsidR="00881AFF" w:rsidRPr="008B2E02">
              <w:rPr>
                <w:lang w:val="es-ES_tradnl"/>
              </w:rPr>
              <w:t>.com</w:t>
            </w:r>
            <w:r w:rsidRPr="008B2E02">
              <w:rPr>
                <w:lang w:val="es-PY"/>
              </w:rPr>
              <w:t xml:space="preserve"> </w:t>
            </w:r>
          </w:p>
          <w:p w:rsidR="0053636E" w:rsidRPr="008B2E02" w:rsidRDefault="00EE5BF2" w:rsidP="00E37D9D">
            <w:r w:rsidRPr="008B2E02">
              <w:t xml:space="preserve">10. </w:t>
            </w:r>
            <w:r w:rsidR="00E37D9D" w:rsidRPr="008B2E02">
              <w:t xml:space="preserve">Aura Elena </w:t>
            </w:r>
            <w:proofErr w:type="spellStart"/>
            <w:r w:rsidR="00E37D9D" w:rsidRPr="008B2E02">
              <w:t>Suchini</w:t>
            </w:r>
            <w:proofErr w:type="spellEnd"/>
            <w:r w:rsidR="00E37D9D" w:rsidRPr="008B2E02">
              <w:t xml:space="preserve"> </w:t>
            </w:r>
            <w:proofErr w:type="spellStart"/>
            <w:r w:rsidR="00E37D9D" w:rsidRPr="008B2E02">
              <w:t>Farfan</w:t>
            </w:r>
            <w:proofErr w:type="spellEnd"/>
            <w:r w:rsidR="00E37D9D" w:rsidRPr="008B2E02">
              <w:t xml:space="preserve">. Instituto de Ciencia y Tecnología Agrícola (ICTA). Km 21,5 Carretera hacia </w:t>
            </w:r>
            <w:proofErr w:type="spellStart"/>
            <w:r w:rsidR="00E37D9D" w:rsidRPr="008B2E02">
              <w:t>Amatitlan</w:t>
            </w:r>
            <w:proofErr w:type="spellEnd"/>
            <w:r w:rsidR="00E37D9D" w:rsidRPr="008B2E02">
              <w:t xml:space="preserve">; </w:t>
            </w:r>
            <w:proofErr w:type="spellStart"/>
            <w:r w:rsidR="00E37D9D" w:rsidRPr="008B2E02">
              <w:t>Barcenas</w:t>
            </w:r>
            <w:proofErr w:type="spellEnd"/>
            <w:r w:rsidR="00E37D9D" w:rsidRPr="008B2E02">
              <w:t>, Villa Nueva</w:t>
            </w:r>
            <w:r w:rsidR="00E37D9D" w:rsidRPr="008B2E02">
              <w:br/>
              <w:t>Ciudad de Guatemala, GUATEMALA. Tel.: 66297899. E-Mail: suchini@yahoo.com</w:t>
            </w:r>
          </w:p>
          <w:p w:rsidR="00E37D9D" w:rsidRPr="008B2E02" w:rsidRDefault="00EE5BF2" w:rsidP="001025E6">
            <w:r w:rsidRPr="008B2E02">
              <w:rPr>
                <w:lang w:val="es-PY"/>
              </w:rPr>
              <w:t>11</w:t>
            </w:r>
            <w:r w:rsidR="00E37D9D" w:rsidRPr="008B2E02">
              <w:rPr>
                <w:lang w:val="es-PY"/>
              </w:rPr>
              <w:t xml:space="preserve">. </w:t>
            </w:r>
            <w:r w:rsidR="001025E6" w:rsidRPr="008B2E02">
              <w:t xml:space="preserve">Sergio De los Santos Villalobos. </w:t>
            </w:r>
            <w:r w:rsidR="001025E6" w:rsidRPr="008B2E02">
              <w:rPr>
                <w:lang w:val="es-PY"/>
              </w:rPr>
              <w:t>Instituto Tecnológico de Sonora, Sonora, México. Tel.: +5216441028251. E-Mail: sergio.delossantos@itson.edu.mx</w:t>
            </w:r>
          </w:p>
          <w:p w:rsidR="008F7BC4" w:rsidRPr="008B2E02" w:rsidRDefault="00EE5BF2" w:rsidP="008F7BC4">
            <w:r w:rsidRPr="008B2E02">
              <w:rPr>
                <w:lang w:val="es-PY"/>
              </w:rPr>
              <w:t>12</w:t>
            </w:r>
            <w:r w:rsidR="001025E6" w:rsidRPr="008B2E02">
              <w:rPr>
                <w:lang w:val="es-PY"/>
              </w:rPr>
              <w:t xml:space="preserve">. </w:t>
            </w:r>
            <w:r w:rsidR="008F7BC4" w:rsidRPr="008B2E02">
              <w:t xml:space="preserve">Jorge Alberto </w:t>
            </w:r>
            <w:proofErr w:type="spellStart"/>
            <w:r w:rsidR="008F7BC4" w:rsidRPr="008B2E02">
              <w:t>Huete</w:t>
            </w:r>
            <w:proofErr w:type="spellEnd"/>
            <w:r w:rsidR="008F7BC4" w:rsidRPr="008B2E02">
              <w:t xml:space="preserve"> Pérez. Centro de Biología Molecular Universidad Centroamericana; Universidad Centro Americana (UCA). Apartado Postal 69</w:t>
            </w:r>
            <w:r w:rsidR="008F7BC4" w:rsidRPr="008B2E02">
              <w:br/>
              <w:t>Managua, NICARAGUA.</w:t>
            </w:r>
            <w:r w:rsidR="0084601D">
              <w:t xml:space="preserve"> </w:t>
            </w:r>
            <w:r w:rsidR="008F7BC4" w:rsidRPr="008B2E02">
              <w:t>Tel.: 50522783923 - Fax: 50522670106. E-Mail: jorgehuete@uca-cbm.org</w:t>
            </w:r>
          </w:p>
          <w:p w:rsidR="000733E9" w:rsidRPr="000733E9" w:rsidRDefault="00EE5BF2" w:rsidP="004147F5">
            <w:r w:rsidRPr="008B2E02">
              <w:t>13</w:t>
            </w:r>
            <w:r w:rsidR="008F7BC4" w:rsidRPr="000733E9">
              <w:t xml:space="preserve">. </w:t>
            </w:r>
            <w:r w:rsidR="000733E9" w:rsidRPr="000733E9">
              <w:rPr>
                <w:lang w:val="es-ES_tradnl"/>
              </w:rPr>
              <w:t>Ismael Camargo Buitrago</w:t>
            </w:r>
            <w:r w:rsidR="000733E9">
              <w:rPr>
                <w:lang w:val="es-ES_tradnl"/>
              </w:rPr>
              <w:t xml:space="preserve">. </w:t>
            </w:r>
            <w:r w:rsidR="000733E9" w:rsidRPr="000733E9">
              <w:rPr>
                <w:lang w:val="es-ES_tradnl"/>
              </w:rPr>
              <w:t>Instituto de Investigación</w:t>
            </w:r>
            <w:r w:rsidR="000733E9">
              <w:rPr>
                <w:lang w:val="es-ES_tradnl"/>
              </w:rPr>
              <w:t xml:space="preserve"> Agropecuaria de Panamá (IDIAP). </w:t>
            </w:r>
            <w:r w:rsidR="000733E9" w:rsidRPr="000733E9">
              <w:rPr>
                <w:lang w:val="es-ES_tradnl"/>
              </w:rPr>
              <w:t>Ciudad del Saber</w:t>
            </w:r>
            <w:r w:rsidR="000733E9">
              <w:rPr>
                <w:lang w:val="es-ES_tradnl"/>
              </w:rPr>
              <w:t xml:space="preserve">, Panamá, </w:t>
            </w:r>
            <w:r w:rsidR="000733E9" w:rsidRPr="000733E9">
              <w:rPr>
                <w:lang w:val="es-ES_tradnl"/>
              </w:rPr>
              <w:t>PANAM</w:t>
            </w:r>
            <w:r w:rsidR="000733E9">
              <w:rPr>
                <w:lang w:val="es-ES_tradnl"/>
              </w:rPr>
              <w:t xml:space="preserve">Á. </w:t>
            </w:r>
            <w:r w:rsidR="000733E9" w:rsidRPr="000733E9">
              <w:rPr>
                <w:lang w:val="es-ES_tradnl"/>
              </w:rPr>
              <w:t>Tel.: 5079933253</w:t>
            </w:r>
            <w:r w:rsidR="000733E9" w:rsidRPr="000733E9">
              <w:rPr>
                <w:lang w:val="es-ES_tradnl"/>
              </w:rPr>
              <w:br/>
              <w:t>E</w:t>
            </w:r>
            <w:r w:rsidR="000733E9">
              <w:rPr>
                <w:lang w:val="es-ES_tradnl"/>
              </w:rPr>
              <w:t>-</w:t>
            </w:r>
            <w:r w:rsidR="000733E9" w:rsidRPr="000733E9">
              <w:rPr>
                <w:lang w:val="es-ES_tradnl"/>
              </w:rPr>
              <w:t>Mail: camargo.ismael@gmail.com</w:t>
            </w:r>
          </w:p>
          <w:p w:rsidR="004147F5" w:rsidRPr="008B2E02" w:rsidRDefault="000733E9" w:rsidP="000733E9">
            <w:r>
              <w:t xml:space="preserve">14. </w:t>
            </w:r>
            <w:r w:rsidR="008F7BC4" w:rsidRPr="008B2E02">
              <w:t xml:space="preserve">Luz </w:t>
            </w:r>
            <w:proofErr w:type="spellStart"/>
            <w:r w:rsidR="008F7BC4" w:rsidRPr="008B2E02">
              <w:t>Rayda</w:t>
            </w:r>
            <w:proofErr w:type="spellEnd"/>
            <w:r w:rsidR="008F7BC4" w:rsidRPr="008B2E02">
              <w:t xml:space="preserve"> Gómez Pando. Universidad Nacional Agraria La Molina (UNALM). Apartado 456. Avenida la Universidad s/n</w:t>
            </w:r>
            <w:r w:rsidR="0084601D">
              <w:t xml:space="preserve"> </w:t>
            </w:r>
            <w:r w:rsidR="008F7BC4" w:rsidRPr="008B2E02">
              <w:t>Lima 12 La Molina, Lima, PERU. Tel.: 5113495799</w:t>
            </w:r>
            <w:r w:rsidR="004147F5" w:rsidRPr="008B2E02">
              <w:t xml:space="preserve"> - </w:t>
            </w:r>
            <w:r w:rsidR="008F7BC4" w:rsidRPr="008B2E02">
              <w:t>Fax: 5113495799</w:t>
            </w:r>
            <w:r w:rsidR="004147F5" w:rsidRPr="008B2E02">
              <w:t xml:space="preserve">. </w:t>
            </w:r>
            <w:r w:rsidR="008F7BC4" w:rsidRPr="008B2E02">
              <w:t>E</w:t>
            </w:r>
            <w:r w:rsidR="004147F5" w:rsidRPr="008B2E02">
              <w:t xml:space="preserve">- </w:t>
            </w:r>
            <w:r w:rsidR="008F7BC4" w:rsidRPr="008B2E02">
              <w:t>Mail: luzgomez@lamolina.edu.pe</w:t>
            </w:r>
          </w:p>
          <w:p w:rsidR="008F7BC4" w:rsidRPr="008B2E02" w:rsidRDefault="004147F5" w:rsidP="00CC7D67">
            <w:r w:rsidRPr="008B2E02">
              <w:t>1</w:t>
            </w:r>
            <w:r w:rsidR="000733E9">
              <w:t>5</w:t>
            </w:r>
            <w:r w:rsidRPr="008B2E02">
              <w:t xml:space="preserve">. </w:t>
            </w:r>
            <w:proofErr w:type="spellStart"/>
            <w:r w:rsidR="00CC7D67" w:rsidRPr="008B2E02">
              <w:t>Efrain</w:t>
            </w:r>
            <w:proofErr w:type="spellEnd"/>
            <w:r w:rsidR="00CC7D67" w:rsidRPr="008B2E02">
              <w:t xml:space="preserve"> Gerardo Salazar </w:t>
            </w:r>
            <w:proofErr w:type="spellStart"/>
            <w:r w:rsidR="00CC7D67" w:rsidRPr="008B2E02">
              <w:t>Yamarte</w:t>
            </w:r>
            <w:proofErr w:type="spellEnd"/>
            <w:r w:rsidR="00CC7D67" w:rsidRPr="008B2E02">
              <w:t xml:space="preserve">. Av. </w:t>
            </w:r>
            <w:proofErr w:type="spellStart"/>
            <w:r w:rsidR="00CC7D67" w:rsidRPr="008B2E02">
              <w:t>Bolivar</w:t>
            </w:r>
            <w:proofErr w:type="spellEnd"/>
            <w:r w:rsidR="00CC7D67" w:rsidRPr="008B2E02">
              <w:t xml:space="preserve"> Este Res Mireya Apto 21</w:t>
            </w:r>
            <w:r w:rsidR="00CC7D67" w:rsidRPr="008B2E02">
              <w:br/>
              <w:t>2101 Maracay, VENEZUELA. Tel.: 582432402792 - Fax: 582432402640. E-Mail: efra63@gmail.com</w:t>
            </w:r>
          </w:p>
          <w:p w:rsidR="00CC7D67" w:rsidRPr="008B2E02" w:rsidRDefault="00CC7D67" w:rsidP="00CC7D67"/>
        </w:tc>
      </w:tr>
      <w:tr w:rsidR="005C11FD" w:rsidRPr="001025E6" w:rsidTr="008F7BC4">
        <w:trPr>
          <w:trHeight w:val="127"/>
        </w:trPr>
        <w:tc>
          <w:tcPr>
            <w:tcW w:w="2127" w:type="dxa"/>
            <w:shd w:val="clear" w:color="auto" w:fill="D9D9D9"/>
            <w:hideMark/>
          </w:tcPr>
          <w:p w:rsidR="005C11FD" w:rsidRPr="001025E6" w:rsidRDefault="005C11FD" w:rsidP="008F7BC4">
            <w:pPr>
              <w:jc w:val="left"/>
              <w:rPr>
                <w:b/>
                <w:sz w:val="12"/>
                <w:lang w:val="es-PY"/>
              </w:rPr>
            </w:pPr>
          </w:p>
        </w:tc>
        <w:tc>
          <w:tcPr>
            <w:tcW w:w="7195" w:type="dxa"/>
            <w:gridSpan w:val="6"/>
            <w:shd w:val="clear" w:color="auto" w:fill="D9D9D9"/>
            <w:hideMark/>
          </w:tcPr>
          <w:p w:rsidR="005C11FD" w:rsidRPr="001025E6" w:rsidRDefault="005C11FD" w:rsidP="008F7BC4">
            <w:pPr>
              <w:rPr>
                <w:i/>
                <w:sz w:val="12"/>
                <w:lang w:val="es-PY"/>
              </w:rPr>
            </w:pPr>
          </w:p>
        </w:tc>
      </w:tr>
      <w:tr w:rsidR="005C11FD" w:rsidRPr="006D665D" w:rsidTr="008F7BC4">
        <w:trPr>
          <w:trHeight w:val="1190"/>
        </w:trPr>
        <w:tc>
          <w:tcPr>
            <w:tcW w:w="2127" w:type="dxa"/>
            <w:hideMark/>
          </w:tcPr>
          <w:p w:rsidR="005C11FD" w:rsidRPr="006D665D" w:rsidRDefault="005C11FD" w:rsidP="008F7BC4">
            <w:pPr>
              <w:jc w:val="left"/>
              <w:rPr>
                <w:b/>
                <w:sz w:val="18"/>
              </w:rPr>
            </w:pPr>
            <w:r w:rsidRPr="006D665D">
              <w:rPr>
                <w:b/>
                <w:sz w:val="18"/>
              </w:rPr>
              <w:t>Análisis de los problemas/</w:t>
            </w:r>
            <w:r>
              <w:rPr>
                <w:b/>
                <w:sz w:val="18"/>
              </w:rPr>
              <w:t>deficiencias/</w:t>
            </w:r>
            <w:r w:rsidRPr="006D665D">
              <w:rPr>
                <w:b/>
                <w:sz w:val="18"/>
              </w:rPr>
              <w:t>necesidades regionales</w:t>
            </w:r>
          </w:p>
          <w:p w:rsidR="005C11FD" w:rsidRPr="006D665D" w:rsidRDefault="005C11FD" w:rsidP="008F7BC4">
            <w:pPr>
              <w:jc w:val="left"/>
              <w:rPr>
                <w:b/>
                <w:sz w:val="18"/>
              </w:rPr>
            </w:pPr>
          </w:p>
        </w:tc>
        <w:tc>
          <w:tcPr>
            <w:tcW w:w="7195" w:type="dxa"/>
            <w:gridSpan w:val="6"/>
            <w:hideMark/>
          </w:tcPr>
          <w:p w:rsidR="00855078" w:rsidRDefault="00855078" w:rsidP="00FD3B7F">
            <w:pPr>
              <w:rPr>
                <w:color w:val="auto"/>
                <w:szCs w:val="20"/>
              </w:rPr>
            </w:pPr>
          </w:p>
          <w:p w:rsidR="001F1BC9" w:rsidRDefault="00FD3B7F" w:rsidP="00FD3B7F">
            <w:pPr>
              <w:rPr>
                <w:color w:val="auto"/>
                <w:szCs w:val="20"/>
              </w:rPr>
            </w:pPr>
            <w:r w:rsidRPr="00FD3B7F">
              <w:rPr>
                <w:color w:val="auto"/>
                <w:szCs w:val="20"/>
              </w:rPr>
              <w:t>La inseguridad alimentaria y el hambre en América Latina y el Caribe están estrechamente asociados a la pobreza extrema, pero no se confunden con ella. Entre las carencias que enfrenta la población en pobreza extrema, la falta de acceso a alimentos es, por sus consecuencias, la más grave y urgente de erradicar. El reconocimiento de la importancia de eliminar las situaciones más extremas de hambre se expresa en que el primer objetivo de desarrollo de la Declaración del Milenio es la erradicación del hambre en el planeta. La insuficiencia permanente de alimentos en cantidad y calidad adecuados para satisfacer las necesidades energéticas de toda la población (subnutrición)</w:t>
            </w:r>
            <w:r>
              <w:rPr>
                <w:color w:val="auto"/>
                <w:szCs w:val="20"/>
              </w:rPr>
              <w:t>,</w:t>
            </w:r>
            <w:r w:rsidRPr="00FD3B7F">
              <w:rPr>
                <w:color w:val="auto"/>
                <w:szCs w:val="20"/>
              </w:rPr>
              <w:t xml:space="preserve"> encuentra su manifestación más grave en la desnutrición infantil. </w:t>
            </w:r>
            <w:r w:rsidR="000B4186">
              <w:rPr>
                <w:color w:val="auto"/>
                <w:szCs w:val="20"/>
              </w:rPr>
              <w:t>E</w:t>
            </w:r>
            <w:r w:rsidRPr="00FD3B7F">
              <w:rPr>
                <w:color w:val="auto"/>
                <w:szCs w:val="20"/>
              </w:rPr>
              <w:t>l retardo del crecimiento es particularmente importante en los países de la región, debido tanto a su mayor incidencia como a la irreversibilidad de sus efectos negativos sobre el desarrollo de los individuos y de la sociedad.</w:t>
            </w:r>
            <w:r w:rsidR="004B5623">
              <w:rPr>
                <w:color w:val="auto"/>
                <w:szCs w:val="20"/>
              </w:rPr>
              <w:t xml:space="preserve"> </w:t>
            </w:r>
            <w:r w:rsidR="00E433D5">
              <w:rPr>
                <w:color w:val="auto"/>
                <w:szCs w:val="20"/>
              </w:rPr>
              <w:t xml:space="preserve">En este sentido, Latinoamérica se enfrenta a un gran desafío: Producir más, con menos. Con menos territorio fértil, </w:t>
            </w:r>
            <w:r w:rsidR="004715F2">
              <w:rPr>
                <w:color w:val="auto"/>
                <w:szCs w:val="20"/>
              </w:rPr>
              <w:t xml:space="preserve">menos suelos cultivables, considerando que a las zonas desérticas y estériles se la van sumando territorios que debido al cambio climático sufren de sequías frecuentes. Desde el año 2010, un grupo </w:t>
            </w:r>
            <w:r w:rsidR="004715F2">
              <w:rPr>
                <w:color w:val="auto"/>
                <w:szCs w:val="20"/>
              </w:rPr>
              <w:lastRenderedPageBreak/>
              <w:t>de países arrancó un primer ARCAL, el 5056 con el objetivo de obtener materiales tolerantes a la sequía, luego en un segundo proyecto regional, el RLA/5/063, se planteó desarrollar protocolos de inducción y de selección de materiales mejorados por inducción de mutaciones. En un ARCAL actual, se presentan líneas avanzadas y variedades comerciales registradas por integrantes del grupo, con los que se desea pasar a la etapa de analizar la calidad e inocuidad de los productos obtenidos.</w:t>
            </w:r>
          </w:p>
          <w:p w:rsidR="005C11FD" w:rsidRPr="00FD3B7F" w:rsidRDefault="005C11FD" w:rsidP="00BA62B3">
            <w:pPr>
              <w:ind w:left="0" w:firstLine="0"/>
              <w:rPr>
                <w:color w:val="auto"/>
              </w:rPr>
            </w:pPr>
          </w:p>
        </w:tc>
      </w:tr>
      <w:tr w:rsidR="005C11FD" w:rsidRPr="006D665D" w:rsidTr="008F7BC4">
        <w:trPr>
          <w:trHeight w:val="575"/>
        </w:trPr>
        <w:tc>
          <w:tcPr>
            <w:tcW w:w="2127" w:type="dxa"/>
          </w:tcPr>
          <w:p w:rsidR="005C11FD" w:rsidRPr="006D665D" w:rsidRDefault="005C11FD" w:rsidP="008F7BC4">
            <w:pPr>
              <w:jc w:val="left"/>
            </w:pPr>
            <w:r w:rsidRPr="006D665D">
              <w:rPr>
                <w:b/>
                <w:sz w:val="18"/>
              </w:rPr>
              <w:lastRenderedPageBreak/>
              <w:t>¿Por qué debería</w:t>
            </w:r>
            <w:r w:rsidR="001F1BC9">
              <w:rPr>
                <w:b/>
                <w:sz w:val="18"/>
              </w:rPr>
              <w:t xml:space="preserve"> </w:t>
            </w:r>
            <w:r w:rsidRPr="006D665D">
              <w:rPr>
                <w:b/>
                <w:sz w:val="18"/>
              </w:rPr>
              <w:t>ser un proyecto regional?</w:t>
            </w:r>
          </w:p>
        </w:tc>
        <w:tc>
          <w:tcPr>
            <w:tcW w:w="7195" w:type="dxa"/>
            <w:gridSpan w:val="6"/>
          </w:tcPr>
          <w:p w:rsidR="00855078" w:rsidRDefault="00855078" w:rsidP="008F7BC4"/>
          <w:p w:rsidR="00855078" w:rsidRPr="00855078" w:rsidRDefault="00855078" w:rsidP="008F7BC4">
            <w:r>
              <w:t xml:space="preserve">La seguridad alimentaria es un problema regional y debe ser abordada regionalmente, aprovechando la experticia de países como Cuba, Perú, Brasil, México, </w:t>
            </w:r>
            <w:r w:rsidR="009B0161">
              <w:t xml:space="preserve">Venezuela, Colombia, </w:t>
            </w:r>
            <w:r>
              <w:t>entre otros, que tienen mucho que aportar en tema de variedades mejoradas a través de mutaciones inducidas. La calidad e inocuidad de los alimentos generados a través de esta tecnología puede ser potenciada de manera regional y lograr resultados de mayor alcance e impacto.</w:t>
            </w:r>
          </w:p>
          <w:p w:rsidR="005C11FD" w:rsidRPr="006D665D" w:rsidRDefault="005C11FD" w:rsidP="00855078">
            <w:pPr>
              <w:rPr>
                <w:i/>
              </w:rPr>
            </w:pPr>
          </w:p>
        </w:tc>
      </w:tr>
      <w:tr w:rsidR="005C11FD" w:rsidRPr="006D665D" w:rsidTr="008F7BC4">
        <w:trPr>
          <w:trHeight w:val="113"/>
        </w:trPr>
        <w:tc>
          <w:tcPr>
            <w:tcW w:w="2127" w:type="dxa"/>
            <w:shd w:val="clear" w:color="auto" w:fill="D9D9D9"/>
            <w:hideMark/>
          </w:tcPr>
          <w:p w:rsidR="005C11FD" w:rsidRPr="006D665D" w:rsidRDefault="005C11FD" w:rsidP="008F7BC4">
            <w:pPr>
              <w:jc w:val="left"/>
              <w:rPr>
                <w:b/>
                <w:sz w:val="16"/>
              </w:rPr>
            </w:pPr>
          </w:p>
        </w:tc>
        <w:tc>
          <w:tcPr>
            <w:tcW w:w="7195" w:type="dxa"/>
            <w:gridSpan w:val="6"/>
            <w:shd w:val="clear" w:color="auto" w:fill="D9D9D9"/>
            <w:hideMark/>
          </w:tcPr>
          <w:p w:rsidR="005C11FD" w:rsidRPr="006D665D" w:rsidRDefault="005C11FD" w:rsidP="008F7BC4">
            <w:pPr>
              <w:rPr>
                <w:i/>
                <w:sz w:val="16"/>
              </w:rPr>
            </w:pPr>
          </w:p>
        </w:tc>
      </w:tr>
      <w:tr w:rsidR="005C11FD" w:rsidRPr="006D665D" w:rsidTr="008F7BC4">
        <w:trPr>
          <w:trHeight w:val="819"/>
        </w:trPr>
        <w:tc>
          <w:tcPr>
            <w:tcW w:w="2127" w:type="dxa"/>
          </w:tcPr>
          <w:p w:rsidR="005C11FD" w:rsidRPr="006D665D" w:rsidRDefault="005C11FD" w:rsidP="008F7BC4">
            <w:pPr>
              <w:jc w:val="left"/>
              <w:rPr>
                <w:b/>
                <w:sz w:val="18"/>
              </w:rPr>
            </w:pPr>
            <w:r w:rsidRPr="006D665D">
              <w:rPr>
                <w:b/>
                <w:sz w:val="18"/>
              </w:rPr>
              <w:t>Análisis de las asociaciones y partes interesadas</w:t>
            </w:r>
          </w:p>
          <w:p w:rsidR="005C11FD" w:rsidRPr="006D665D" w:rsidRDefault="005C11FD" w:rsidP="008F7BC4">
            <w:pPr>
              <w:jc w:val="left"/>
              <w:rPr>
                <w:b/>
                <w:sz w:val="18"/>
              </w:rPr>
            </w:pPr>
          </w:p>
        </w:tc>
        <w:tc>
          <w:tcPr>
            <w:tcW w:w="7195" w:type="dxa"/>
            <w:gridSpan w:val="6"/>
          </w:tcPr>
          <w:p w:rsidR="00781B18" w:rsidRDefault="00781B18" w:rsidP="00801913">
            <w:pPr>
              <w:ind w:left="0" w:firstLine="0"/>
            </w:pPr>
          </w:p>
          <w:p w:rsidR="00801913" w:rsidRPr="00801913" w:rsidRDefault="00801913" w:rsidP="00801913">
            <w:pPr>
              <w:ind w:left="0" w:firstLine="0"/>
            </w:pPr>
            <w:r>
              <w:t>El grupo propuesto se encuentra consolidado desde varios proyectos ARCAL anteriores, generando líneas y variedades registradas. La propuesta cuenta con representantes de la Academia (Universidades), del Sector Público (Institutos</w:t>
            </w:r>
            <w:r w:rsidR="006A407C">
              <w:t xml:space="preserve"> de Investigación</w:t>
            </w:r>
            <w:r>
              <w:t xml:space="preserve"> y Ministerios</w:t>
            </w:r>
            <w:r w:rsidR="006A407C">
              <w:t xml:space="preserve"> de Agricultura)</w:t>
            </w:r>
            <w:r>
              <w:t xml:space="preserve"> y de Entidades Privadas (Federación de </w:t>
            </w:r>
            <w:r w:rsidR="006A407C">
              <w:t xml:space="preserve">Productores de </w:t>
            </w:r>
            <w:r>
              <w:t>Arroz</w:t>
            </w:r>
            <w:r w:rsidR="006A407C">
              <w:t>, Cooperativas de Producción</w:t>
            </w:r>
            <w:r>
              <w:t>)</w:t>
            </w:r>
            <w:r w:rsidR="00781B18">
              <w:t xml:space="preserve"> que garantizan el desarrollo del proyecto. Los beneficiados finales de cada actividad realizada están representados por los pequeños productores y consumidores que participan del proceso de Mejoramiento Participativo, implementado por varios países. Cuba realiza periódicamente días de campo con pequeños productores para la selección de materiales de tomate, arroz y flor de Jamaica. Por su parte, Brasil hace lo suyo con productores de arroz, Perú con productores de quinua y cebada, mientras que Paraguay selecciona con productores campesinos de </w:t>
            </w:r>
            <w:proofErr w:type="spellStart"/>
            <w:r w:rsidR="00781B18">
              <w:t>estevia</w:t>
            </w:r>
            <w:proofErr w:type="spellEnd"/>
            <w:r w:rsidR="00781B18">
              <w:t>. De esta manera, se asegura la aprobación del consumidor final.</w:t>
            </w:r>
          </w:p>
          <w:p w:rsidR="005C11FD" w:rsidRPr="006D665D" w:rsidRDefault="005C11FD" w:rsidP="008F7BC4"/>
        </w:tc>
      </w:tr>
      <w:tr w:rsidR="005C11FD" w:rsidRPr="006D665D" w:rsidTr="008F7BC4">
        <w:trPr>
          <w:trHeight w:val="113"/>
        </w:trPr>
        <w:tc>
          <w:tcPr>
            <w:tcW w:w="2127" w:type="dxa"/>
            <w:shd w:val="clear" w:color="auto" w:fill="D9D9D9"/>
            <w:hideMark/>
          </w:tcPr>
          <w:p w:rsidR="005C11FD" w:rsidRPr="006D665D" w:rsidRDefault="005C11FD" w:rsidP="008F7BC4">
            <w:pPr>
              <w:jc w:val="left"/>
              <w:rPr>
                <w:b/>
                <w:sz w:val="14"/>
              </w:rPr>
            </w:pPr>
          </w:p>
        </w:tc>
        <w:tc>
          <w:tcPr>
            <w:tcW w:w="7195" w:type="dxa"/>
            <w:gridSpan w:val="6"/>
            <w:shd w:val="clear" w:color="auto" w:fill="D9D9D9"/>
            <w:hideMark/>
          </w:tcPr>
          <w:p w:rsidR="005C11FD" w:rsidRPr="006D665D" w:rsidRDefault="005C11FD" w:rsidP="008F7BC4">
            <w:pPr>
              <w:rPr>
                <w:i/>
                <w:sz w:val="14"/>
              </w:rPr>
            </w:pPr>
          </w:p>
        </w:tc>
      </w:tr>
      <w:tr w:rsidR="005C11FD" w:rsidRPr="006D665D" w:rsidTr="008F7BC4">
        <w:trPr>
          <w:trHeight w:val="712"/>
        </w:trPr>
        <w:tc>
          <w:tcPr>
            <w:tcW w:w="2127" w:type="dxa"/>
          </w:tcPr>
          <w:p w:rsidR="005C11FD" w:rsidRPr="006D665D" w:rsidRDefault="005C11FD" w:rsidP="008F7BC4">
            <w:pPr>
              <w:jc w:val="left"/>
              <w:rPr>
                <w:b/>
                <w:sz w:val="18"/>
              </w:rPr>
            </w:pPr>
            <w:r w:rsidRPr="006D665D">
              <w:rPr>
                <w:b/>
                <w:sz w:val="18"/>
              </w:rPr>
              <w:t>Objetivo general(u objetivo de desarrollo)</w:t>
            </w:r>
          </w:p>
          <w:p w:rsidR="005C11FD" w:rsidRPr="006D665D" w:rsidRDefault="005C11FD" w:rsidP="008F7BC4">
            <w:pPr>
              <w:jc w:val="left"/>
              <w:rPr>
                <w:b/>
                <w:sz w:val="18"/>
              </w:rPr>
            </w:pPr>
          </w:p>
        </w:tc>
        <w:tc>
          <w:tcPr>
            <w:tcW w:w="7195" w:type="dxa"/>
            <w:gridSpan w:val="6"/>
          </w:tcPr>
          <w:p w:rsidR="00781B18" w:rsidRPr="00781B18" w:rsidRDefault="00781B18" w:rsidP="008F7BC4"/>
          <w:p w:rsidR="00781B18" w:rsidRDefault="001D5032" w:rsidP="008F7BC4">
            <w:r>
              <w:t>El presente proyecto tiene como objetivo fortalecer las capacidades de laboratorios de la región para evaluar la calidad e inocuidad de alimentos producid</w:t>
            </w:r>
            <w:r w:rsidR="009B0161">
              <w:t>os por inducción de mutaciones.</w:t>
            </w:r>
          </w:p>
          <w:p w:rsidR="009B0161" w:rsidRDefault="009B0161" w:rsidP="008F7BC4">
            <w:r>
              <w:t>El equipo conformado por la plataforma de centros e investigadores en temas de mejoramiento</w:t>
            </w:r>
            <w:r w:rsidR="00CB39E8">
              <w:t xml:space="preserve"> genético de cultivos a través de mutaciones inducidas se encuentra consolidando cada vez más, apoyando a los países que se van incorporando en cada proyecto. El hecho de tener cultivos y </w:t>
            </w:r>
            <w:r w:rsidR="00C61E70">
              <w:t>necesidades comunes entre los países integrantes, se fortalece con la experiencia de los más avanzados, quienes inclusive, se constituyen en Centros de Formación, poniendo a disposición su infraestructura y capacidades para el desarrollo de las capacitaciones regionales.</w:t>
            </w:r>
          </w:p>
          <w:p w:rsidR="009B0161" w:rsidRPr="006D665D" w:rsidRDefault="009B0161" w:rsidP="00C61E70">
            <w:pPr>
              <w:ind w:left="0" w:firstLine="0"/>
            </w:pPr>
          </w:p>
        </w:tc>
      </w:tr>
      <w:tr w:rsidR="005C11FD" w:rsidRPr="006D665D" w:rsidTr="008F7BC4">
        <w:trPr>
          <w:trHeight w:val="113"/>
        </w:trPr>
        <w:tc>
          <w:tcPr>
            <w:tcW w:w="2127" w:type="dxa"/>
            <w:shd w:val="clear" w:color="auto" w:fill="D9D9D9"/>
            <w:hideMark/>
          </w:tcPr>
          <w:p w:rsidR="005C11FD" w:rsidRPr="006D665D" w:rsidRDefault="005C11FD" w:rsidP="008F7BC4">
            <w:pPr>
              <w:jc w:val="left"/>
              <w:rPr>
                <w:sz w:val="16"/>
              </w:rPr>
            </w:pPr>
          </w:p>
        </w:tc>
        <w:tc>
          <w:tcPr>
            <w:tcW w:w="7195" w:type="dxa"/>
            <w:gridSpan w:val="6"/>
            <w:shd w:val="clear" w:color="auto" w:fill="D9D9D9"/>
            <w:hideMark/>
          </w:tcPr>
          <w:p w:rsidR="005C11FD" w:rsidRPr="006D665D" w:rsidRDefault="005C11FD" w:rsidP="008F7BC4">
            <w:pPr>
              <w:rPr>
                <w:i/>
                <w:sz w:val="16"/>
              </w:rPr>
            </w:pPr>
          </w:p>
        </w:tc>
      </w:tr>
      <w:tr w:rsidR="005C11FD" w:rsidRPr="006D665D" w:rsidTr="008F7BC4">
        <w:trPr>
          <w:trHeight w:val="255"/>
        </w:trPr>
        <w:tc>
          <w:tcPr>
            <w:tcW w:w="2127" w:type="dxa"/>
            <w:hideMark/>
          </w:tcPr>
          <w:p w:rsidR="005C11FD" w:rsidRPr="006D665D" w:rsidRDefault="005C11FD" w:rsidP="008F7BC4">
            <w:pPr>
              <w:pStyle w:val="Sinespaciado"/>
            </w:pPr>
            <w:r w:rsidRPr="00CA30D7">
              <w:rPr>
                <w:b/>
                <w:sz w:val="18"/>
              </w:rPr>
              <w:t>Análisis de los objetivos</w:t>
            </w:r>
          </w:p>
        </w:tc>
        <w:tc>
          <w:tcPr>
            <w:tcW w:w="7195" w:type="dxa"/>
            <w:gridSpan w:val="6"/>
            <w:hideMark/>
          </w:tcPr>
          <w:p w:rsidR="001A3948" w:rsidRDefault="001A3948" w:rsidP="008F7BC4">
            <w:pPr>
              <w:keepNext/>
              <w:keepLines/>
              <w:rPr>
                <w:i/>
              </w:rPr>
            </w:pPr>
          </w:p>
          <w:p w:rsidR="001A3948" w:rsidRDefault="001A3948" w:rsidP="008F7BC4">
            <w:pPr>
              <w:keepNext/>
              <w:keepLines/>
            </w:pPr>
            <w:r>
              <w:t>1. Identificar el cultivo con el que trabajará cada país y las características mejoradas.</w:t>
            </w:r>
          </w:p>
          <w:p w:rsidR="001A3948" w:rsidRDefault="001A3948" w:rsidP="008F7BC4">
            <w:pPr>
              <w:keepNext/>
              <w:keepLines/>
            </w:pPr>
            <w:r>
              <w:lastRenderedPageBreak/>
              <w:t>2. Elaborar un protocolo de análisis para cada producto con el que se trabaja en cada país.</w:t>
            </w:r>
          </w:p>
          <w:p w:rsidR="001A3948" w:rsidRDefault="001A3948" w:rsidP="008F7BC4">
            <w:pPr>
              <w:keepNext/>
              <w:keepLines/>
            </w:pPr>
            <w:r>
              <w:t>3. Identificar las capacidades y necesidades analíticas de cada centro de investigación miembro.</w:t>
            </w:r>
          </w:p>
          <w:p w:rsidR="001A3948" w:rsidRDefault="001A3948" w:rsidP="008F7BC4">
            <w:pPr>
              <w:keepNext/>
              <w:keepLines/>
            </w:pPr>
            <w:r>
              <w:t>4. Capacitar</w:t>
            </w:r>
            <w:r w:rsidR="00350B7F">
              <w:t xml:space="preserve"> a los integrantes de la plataforma en temas de calidad e inocuidad de alimentos en base a los productos obtenidos en cada país.</w:t>
            </w:r>
          </w:p>
          <w:p w:rsidR="00350B7F" w:rsidRPr="001A3948" w:rsidRDefault="00350B7F" w:rsidP="008F7BC4">
            <w:pPr>
              <w:keepNext/>
              <w:keepLines/>
            </w:pPr>
            <w:r>
              <w:t>5. Implementar análisis de calidad e inocuidad de los productos de cada país miembro.</w:t>
            </w:r>
          </w:p>
          <w:p w:rsidR="00350B7F" w:rsidRPr="006D665D" w:rsidRDefault="00350B7F" w:rsidP="00350B7F">
            <w:pPr>
              <w:keepNext/>
              <w:keepLines/>
              <w:ind w:left="0" w:firstLine="0"/>
            </w:pPr>
          </w:p>
        </w:tc>
      </w:tr>
      <w:tr w:rsidR="005C11FD" w:rsidRPr="006D665D" w:rsidTr="008F7BC4">
        <w:trPr>
          <w:trHeight w:val="115"/>
        </w:trPr>
        <w:tc>
          <w:tcPr>
            <w:tcW w:w="2127" w:type="dxa"/>
            <w:shd w:val="clear" w:color="auto" w:fill="D9D9D9"/>
          </w:tcPr>
          <w:p w:rsidR="005C11FD" w:rsidRPr="006D665D" w:rsidRDefault="005C11FD" w:rsidP="008F7BC4">
            <w:pPr>
              <w:jc w:val="left"/>
              <w:rPr>
                <w:b/>
                <w:sz w:val="10"/>
              </w:rPr>
            </w:pPr>
          </w:p>
        </w:tc>
        <w:tc>
          <w:tcPr>
            <w:tcW w:w="7195" w:type="dxa"/>
            <w:gridSpan w:val="6"/>
            <w:shd w:val="clear" w:color="auto" w:fill="D9D9D9"/>
          </w:tcPr>
          <w:p w:rsidR="005C11FD" w:rsidRPr="006D665D" w:rsidRDefault="005C11FD" w:rsidP="008F7BC4">
            <w:pPr>
              <w:rPr>
                <w:i/>
                <w:sz w:val="10"/>
              </w:rPr>
            </w:pPr>
          </w:p>
        </w:tc>
      </w:tr>
      <w:tr w:rsidR="005C11FD" w:rsidRPr="006D665D" w:rsidTr="008F7BC4">
        <w:trPr>
          <w:trHeight w:val="915"/>
        </w:trPr>
        <w:tc>
          <w:tcPr>
            <w:tcW w:w="2127" w:type="dxa"/>
            <w:hideMark/>
          </w:tcPr>
          <w:p w:rsidR="005C11FD" w:rsidRPr="006D665D" w:rsidRDefault="005C11FD" w:rsidP="008F7BC4">
            <w:pPr>
              <w:jc w:val="left"/>
            </w:pPr>
            <w:r w:rsidRPr="006D665D">
              <w:rPr>
                <w:b/>
                <w:sz w:val="18"/>
              </w:rPr>
              <w:t>Función de la tecnología nuclear y el OIEA</w:t>
            </w:r>
          </w:p>
        </w:tc>
        <w:tc>
          <w:tcPr>
            <w:tcW w:w="7195" w:type="dxa"/>
            <w:gridSpan w:val="6"/>
            <w:hideMark/>
          </w:tcPr>
          <w:p w:rsidR="007F0DF6" w:rsidRPr="007F0DF6" w:rsidRDefault="007F0DF6" w:rsidP="008F7BC4"/>
          <w:p w:rsidR="007F0DF6" w:rsidRDefault="007F0DF6" w:rsidP="008F7BC4">
            <w:r>
              <w:t>Cada país integrante del equipo trabajará en base a al menos un producto generado por inducción de mutaciones empleando radiaciones ionizantes. Para el análisis de calidad e inocuidad se emplearán metodologías varias, entre las que se mencionan la absorción atómica</w:t>
            </w:r>
            <w:r w:rsidR="009C06B1">
              <w:t>, mientras que una de las propuestas para asegurar la inocuidad de los mismos es a través de la irradiación de los alimentos.</w:t>
            </w:r>
          </w:p>
          <w:p w:rsidR="009C06B1" w:rsidRDefault="009C06B1" w:rsidP="008F7BC4">
            <w:r>
              <w:t xml:space="preserve">Las técnicas mencionadas, tanto para el análisis como para el tratamiento de los alimentos, se constituyen en altamente sensibles y </w:t>
            </w:r>
            <w:proofErr w:type="spellStart"/>
            <w:r>
              <w:t>especificas</w:t>
            </w:r>
            <w:proofErr w:type="spellEnd"/>
            <w:r>
              <w:t xml:space="preserve"> como para detectar pequeñas concentraciones de elementos, así como las más seguras del mercado.</w:t>
            </w:r>
          </w:p>
          <w:p w:rsidR="009C06B1" w:rsidRDefault="009C06B1" w:rsidP="008F7BC4">
            <w:r>
              <w:t>Se espera contar con el apoyo técnico especializado del OIEA en temas de manejo de equipos y metodologías de seguridad radiológica, así como el soporte organizacional de aglutinación entre expertos y usuarios de tecnología nuclear. Se desea contar además con el apoyo financiero para concretar las capacitaciones, misiones de expertos, movilidades de becarios y adquisición de equipos e insumos para la ejecución del proyecto.</w:t>
            </w:r>
          </w:p>
          <w:p w:rsidR="005C11FD" w:rsidRPr="006D665D" w:rsidRDefault="005C11FD" w:rsidP="009C06B1">
            <w:pPr>
              <w:ind w:left="0" w:firstLine="0"/>
            </w:pPr>
          </w:p>
        </w:tc>
      </w:tr>
      <w:tr w:rsidR="005C11FD" w:rsidRPr="006D665D" w:rsidTr="008F7BC4">
        <w:trPr>
          <w:trHeight w:val="113"/>
        </w:trPr>
        <w:tc>
          <w:tcPr>
            <w:tcW w:w="2127" w:type="dxa"/>
            <w:shd w:val="clear" w:color="auto" w:fill="D9D9D9"/>
            <w:hideMark/>
          </w:tcPr>
          <w:p w:rsidR="005C11FD" w:rsidRPr="006D665D" w:rsidRDefault="005C11FD" w:rsidP="008F7BC4">
            <w:pPr>
              <w:jc w:val="left"/>
              <w:rPr>
                <w:sz w:val="12"/>
              </w:rPr>
            </w:pPr>
          </w:p>
        </w:tc>
        <w:tc>
          <w:tcPr>
            <w:tcW w:w="7195" w:type="dxa"/>
            <w:gridSpan w:val="6"/>
            <w:shd w:val="clear" w:color="auto" w:fill="D9D9D9"/>
            <w:hideMark/>
          </w:tcPr>
          <w:p w:rsidR="005C11FD" w:rsidRPr="006D665D" w:rsidRDefault="005C11FD" w:rsidP="008F7BC4">
            <w:pPr>
              <w:rPr>
                <w:i/>
                <w:sz w:val="12"/>
              </w:rPr>
            </w:pPr>
          </w:p>
        </w:tc>
      </w:tr>
      <w:tr w:rsidR="005C11FD" w:rsidRPr="006D665D" w:rsidTr="008F7BC4">
        <w:trPr>
          <w:trHeight w:val="695"/>
        </w:trPr>
        <w:tc>
          <w:tcPr>
            <w:tcW w:w="2127" w:type="dxa"/>
            <w:hideMark/>
          </w:tcPr>
          <w:p w:rsidR="005C11FD" w:rsidRPr="006D665D" w:rsidRDefault="005C11FD" w:rsidP="008F7BC4">
            <w:pPr>
              <w:jc w:val="left"/>
            </w:pPr>
            <w:r w:rsidRPr="006D665D">
              <w:rPr>
                <w:b/>
                <w:sz w:val="18"/>
              </w:rPr>
              <w:t>Duración del</w:t>
            </w:r>
            <w:r w:rsidR="00676E27">
              <w:rPr>
                <w:b/>
                <w:sz w:val="18"/>
              </w:rPr>
              <w:t xml:space="preserve"> </w:t>
            </w:r>
            <w:r w:rsidRPr="006D665D">
              <w:rPr>
                <w:b/>
                <w:sz w:val="18"/>
              </w:rPr>
              <w:t>proyecto</w:t>
            </w:r>
          </w:p>
        </w:tc>
        <w:tc>
          <w:tcPr>
            <w:tcW w:w="7195" w:type="dxa"/>
            <w:gridSpan w:val="6"/>
            <w:hideMark/>
          </w:tcPr>
          <w:p w:rsidR="00676E27" w:rsidRDefault="00676E27" w:rsidP="008F7BC4">
            <w:pPr>
              <w:rPr>
                <w:i/>
              </w:rPr>
            </w:pPr>
          </w:p>
          <w:p w:rsidR="00676E27" w:rsidRPr="00676E27" w:rsidRDefault="00676E27" w:rsidP="008F7BC4">
            <w:r>
              <w:t>Se propone una duración de veinticuatro meses (un ciclo). Inicio previsto en enero de 2020 y fi</w:t>
            </w:r>
            <w:r w:rsidR="005605DD">
              <w:t>nalización en diciembre de 2021 y una extensión del mismo tiempo en caso de ser necesario.</w:t>
            </w:r>
          </w:p>
          <w:p w:rsidR="005C11FD" w:rsidRPr="006D665D" w:rsidRDefault="005C11FD" w:rsidP="008F7BC4"/>
        </w:tc>
      </w:tr>
      <w:tr w:rsidR="005C11FD" w:rsidRPr="006D665D" w:rsidTr="008F7BC4">
        <w:trPr>
          <w:trHeight w:val="765"/>
        </w:trPr>
        <w:tc>
          <w:tcPr>
            <w:tcW w:w="2127" w:type="dxa"/>
          </w:tcPr>
          <w:p w:rsidR="005C11FD" w:rsidRPr="006D665D" w:rsidRDefault="005C11FD" w:rsidP="008F7BC4">
            <w:pPr>
              <w:jc w:val="left"/>
            </w:pPr>
            <w:r w:rsidRPr="006D665D">
              <w:rPr>
                <w:b/>
                <w:sz w:val="18"/>
              </w:rPr>
              <w:t>Requisitos</w:t>
            </w:r>
            <w:r w:rsidR="00676E27">
              <w:rPr>
                <w:b/>
                <w:sz w:val="18"/>
              </w:rPr>
              <w:t xml:space="preserve"> </w:t>
            </w:r>
            <w:r w:rsidRPr="006D665D">
              <w:rPr>
                <w:b/>
                <w:sz w:val="18"/>
              </w:rPr>
              <w:t>de</w:t>
            </w:r>
            <w:r w:rsidR="00676E27">
              <w:rPr>
                <w:b/>
                <w:sz w:val="18"/>
              </w:rPr>
              <w:t xml:space="preserve"> </w:t>
            </w:r>
            <w:r w:rsidRPr="006D665D">
              <w:rPr>
                <w:b/>
                <w:sz w:val="18"/>
              </w:rPr>
              <w:t>participación</w:t>
            </w:r>
          </w:p>
        </w:tc>
        <w:tc>
          <w:tcPr>
            <w:tcW w:w="7195" w:type="dxa"/>
            <w:gridSpan w:val="6"/>
          </w:tcPr>
          <w:p w:rsidR="00676E27" w:rsidRPr="00676E27" w:rsidRDefault="00676E27" w:rsidP="008F7BC4"/>
          <w:p w:rsidR="00676E27" w:rsidRPr="00676E27" w:rsidRDefault="005605DD" w:rsidP="008F7BC4">
            <w:r>
              <w:t>Cada país que desee participar del presente proyecto deberá contar con al menos un cultivo mutante en estado M</w:t>
            </w:r>
            <w:r w:rsidRPr="005605DD">
              <w:rPr>
                <w:vertAlign w:val="subscript"/>
              </w:rPr>
              <w:t>4</w:t>
            </w:r>
            <w:r>
              <w:t xml:space="preserve">, pues se pretende </w:t>
            </w:r>
            <w:r w:rsidR="00E5172E">
              <w:t>trabajar en sistemas de calidad e inocuidad con productos mejorados. Serán rechazados las contrapartes nacionales que no posean mutantes y se encuentren en etapa inicial. La verificación se realizará a través de un informe del cultivo y las características obtenidas con el producto a trabajar, en lo posible que cuente con evidencia de publicaciones o comunicaciones científicas.</w:t>
            </w:r>
            <w:r w:rsidR="005C73E3">
              <w:t xml:space="preserve"> Cada país deberá comprometerse con aportar al menos 10,000 Euros en concepto de honorarios profesionales, adquisición de insumos y gastos operativos</w:t>
            </w:r>
            <w:r w:rsidR="001E75F9">
              <w:t xml:space="preserve"> para el desarrollo del proyecto</w:t>
            </w:r>
            <w:r w:rsidR="00F25D7F">
              <w:t xml:space="preserve">, demostrable con una nota compromiso y posterior presentación de informe de la autoridad competente. </w:t>
            </w:r>
          </w:p>
          <w:p w:rsidR="00E5172E" w:rsidRPr="00E5172E" w:rsidRDefault="00E5172E" w:rsidP="00E5172E">
            <w:pPr>
              <w:ind w:left="0" w:firstLine="0"/>
            </w:pPr>
          </w:p>
        </w:tc>
      </w:tr>
      <w:tr w:rsidR="005C11FD" w:rsidRPr="006D665D" w:rsidTr="008F7BC4">
        <w:trPr>
          <w:trHeight w:val="510"/>
        </w:trPr>
        <w:tc>
          <w:tcPr>
            <w:tcW w:w="2127" w:type="dxa"/>
          </w:tcPr>
          <w:p w:rsidR="005C11FD" w:rsidRPr="006D665D" w:rsidRDefault="005C11FD" w:rsidP="008F7BC4">
            <w:pPr>
              <w:jc w:val="left"/>
            </w:pPr>
            <w:r w:rsidRPr="006D665D">
              <w:rPr>
                <w:b/>
                <w:sz w:val="18"/>
              </w:rPr>
              <w:t>Estados</w:t>
            </w:r>
            <w:r w:rsidR="00E5172E">
              <w:rPr>
                <w:b/>
                <w:sz w:val="18"/>
              </w:rPr>
              <w:t xml:space="preserve"> </w:t>
            </w:r>
            <w:r w:rsidRPr="006D665D">
              <w:rPr>
                <w:b/>
                <w:sz w:val="18"/>
              </w:rPr>
              <w:t>Miembros</w:t>
            </w:r>
            <w:r w:rsidR="00E5172E">
              <w:rPr>
                <w:b/>
                <w:sz w:val="18"/>
              </w:rPr>
              <w:t xml:space="preserve"> </w:t>
            </w:r>
            <w:r w:rsidRPr="006D665D">
              <w:rPr>
                <w:b/>
                <w:sz w:val="18"/>
              </w:rPr>
              <w:t>participantes</w:t>
            </w:r>
          </w:p>
        </w:tc>
        <w:tc>
          <w:tcPr>
            <w:tcW w:w="7195" w:type="dxa"/>
            <w:gridSpan w:val="6"/>
          </w:tcPr>
          <w:p w:rsidR="005C11FD" w:rsidRPr="006D665D" w:rsidRDefault="005C11FD" w:rsidP="008F7BC4">
            <w:r w:rsidRPr="006D665D">
              <w:rPr>
                <w:i/>
              </w:rPr>
              <w:t>Enumere los Estados Miembros que se espera que participen en este proyecto que cumplen los requisitos antes mencionados. Indique la función de cada Estado Miembro en el proyecto.</w:t>
            </w:r>
          </w:p>
          <w:p w:rsidR="00E5172E" w:rsidRDefault="00E5172E" w:rsidP="008F7BC4">
            <w:pPr>
              <w:rPr>
                <w:i/>
              </w:rPr>
            </w:pPr>
          </w:p>
          <w:p w:rsidR="005C11FD" w:rsidRDefault="00E5172E" w:rsidP="008F7BC4">
            <w:pPr>
              <w:rPr>
                <w:i/>
              </w:rPr>
            </w:pPr>
            <w:r>
              <w:rPr>
                <w:i/>
              </w:rPr>
              <w:t xml:space="preserve">1. </w:t>
            </w:r>
            <w:r w:rsidR="005C11FD" w:rsidRPr="006D665D">
              <w:rPr>
                <w:i/>
              </w:rPr>
              <w:t>País:</w:t>
            </w:r>
            <w:r>
              <w:rPr>
                <w:i/>
              </w:rPr>
              <w:t xml:space="preserve"> Paraguay              </w:t>
            </w:r>
            <w:r w:rsidR="005C11FD" w:rsidRPr="006D665D">
              <w:rPr>
                <w:i/>
              </w:rPr>
              <w:t>Función:</w:t>
            </w:r>
          </w:p>
          <w:p w:rsidR="004C389F" w:rsidRDefault="004C389F" w:rsidP="004C389F">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lastRenderedPageBreak/>
              <w:t>Recurso (aporta conocimientos</w:t>
            </w:r>
            <w:r w:rsidRPr="006D665D">
              <w:rPr>
                <w:rFonts w:ascii="Times New Roman" w:hAnsi="Times New Roman" w:cs="Times New Roman"/>
                <w:i/>
                <w:sz w:val="20"/>
                <w:lang w:val="es-MX"/>
              </w:rPr>
              <w:br/>
              <w:t>especializados)</w:t>
            </w:r>
          </w:p>
          <w:p w:rsidR="004C389F" w:rsidRPr="006D665D" w:rsidRDefault="004C389F" w:rsidP="008F7BC4"/>
          <w:p w:rsidR="005C11FD" w:rsidRPr="00E5172E" w:rsidRDefault="005C11FD" w:rsidP="005C11F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rPr>
                <w:i/>
              </w:rPr>
            </w:pPr>
          </w:p>
          <w:p w:rsidR="00E5172E" w:rsidRPr="006D665D" w:rsidRDefault="00E5172E" w:rsidP="00E5172E">
            <w:r>
              <w:rPr>
                <w:i/>
              </w:rPr>
              <w:t xml:space="preserve">2. </w:t>
            </w:r>
            <w:r w:rsidRPr="006D665D">
              <w:rPr>
                <w:i/>
              </w:rPr>
              <w:t>País:</w:t>
            </w:r>
            <w:r w:rsidR="004C389F">
              <w:rPr>
                <w:i/>
              </w:rPr>
              <w:t xml:space="preserve"> Argentina             </w:t>
            </w:r>
            <w:r w:rsidRPr="006D665D">
              <w:rPr>
                <w:i/>
              </w:rPr>
              <w:t>Función:</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3. </w:t>
            </w:r>
            <w:r w:rsidRPr="006D665D">
              <w:rPr>
                <w:i/>
              </w:rPr>
              <w:t>País:</w:t>
            </w:r>
            <w:r w:rsidR="004C389F">
              <w:rPr>
                <w:i/>
              </w:rPr>
              <w:t xml:space="preserve"> Bolivia                </w:t>
            </w:r>
            <w:r w:rsidRPr="006D665D">
              <w:rPr>
                <w:i/>
              </w:rPr>
              <w:t>Función:</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4. </w:t>
            </w:r>
            <w:r w:rsidRPr="006D665D">
              <w:rPr>
                <w:i/>
              </w:rPr>
              <w:t>País:</w:t>
            </w:r>
            <w:r w:rsidR="004C389F">
              <w:rPr>
                <w:i/>
              </w:rPr>
              <w:t xml:space="preserve"> Brasil                 </w:t>
            </w:r>
            <w:r w:rsidRPr="006D665D">
              <w:rPr>
                <w:i/>
              </w:rPr>
              <w:t>Función:</w:t>
            </w:r>
          </w:p>
          <w:p w:rsidR="00E5172E" w:rsidRDefault="00E5172E" w:rsidP="00E5172E">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5. </w:t>
            </w:r>
            <w:r w:rsidRPr="006D665D">
              <w:rPr>
                <w:i/>
              </w:rPr>
              <w:t>País:</w:t>
            </w:r>
            <w:r w:rsidR="004C389F">
              <w:rPr>
                <w:i/>
              </w:rPr>
              <w:t xml:space="preserve"> Colombia            </w:t>
            </w:r>
            <w:r w:rsidRPr="006D665D">
              <w:rPr>
                <w:i/>
              </w:rPr>
              <w:t>Función:</w:t>
            </w:r>
          </w:p>
          <w:p w:rsidR="00E5172E" w:rsidRDefault="00E5172E" w:rsidP="00E5172E">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6. </w:t>
            </w:r>
            <w:r w:rsidRPr="006D665D">
              <w:rPr>
                <w:i/>
              </w:rPr>
              <w:t>País:</w:t>
            </w:r>
            <w:r w:rsidR="004C389F">
              <w:rPr>
                <w:i/>
              </w:rPr>
              <w:t xml:space="preserve"> Costa Rica           </w:t>
            </w:r>
            <w:r w:rsidRPr="006D665D">
              <w:rPr>
                <w:i/>
              </w:rPr>
              <w:t>Función:</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7. </w:t>
            </w:r>
            <w:r w:rsidRPr="006D665D">
              <w:rPr>
                <w:i/>
              </w:rPr>
              <w:t>País:</w:t>
            </w:r>
            <w:r w:rsidR="004C389F">
              <w:rPr>
                <w:i/>
              </w:rPr>
              <w:t xml:space="preserve"> Cuba                   </w:t>
            </w:r>
            <w:r w:rsidRPr="006D665D">
              <w:rPr>
                <w:i/>
              </w:rPr>
              <w:t>Función:</w:t>
            </w:r>
          </w:p>
          <w:p w:rsidR="00E5172E" w:rsidRDefault="00E5172E" w:rsidP="00E5172E">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8. </w:t>
            </w:r>
            <w:r w:rsidRPr="006D665D">
              <w:rPr>
                <w:i/>
              </w:rPr>
              <w:t>País:</w:t>
            </w:r>
            <w:r w:rsidR="004C389F">
              <w:rPr>
                <w:i/>
              </w:rPr>
              <w:t xml:space="preserve"> Ecuador              </w:t>
            </w:r>
            <w:r w:rsidRPr="006D665D">
              <w:rPr>
                <w:i/>
              </w:rPr>
              <w:t>Función:</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E5172E" w:rsidP="00E5172E">
            <w:r>
              <w:rPr>
                <w:i/>
              </w:rPr>
              <w:t xml:space="preserve">9. </w:t>
            </w:r>
            <w:r w:rsidRPr="006D665D">
              <w:rPr>
                <w:i/>
              </w:rPr>
              <w:t>País:</w:t>
            </w:r>
            <w:r w:rsidR="004C389F">
              <w:rPr>
                <w:i/>
              </w:rPr>
              <w:t xml:space="preserve"> El Salvador          </w:t>
            </w:r>
            <w:r w:rsidRPr="006D665D">
              <w:rPr>
                <w:i/>
              </w:rPr>
              <w:t>Función:</w:t>
            </w:r>
          </w:p>
          <w:p w:rsidR="00E5172E" w:rsidRDefault="00E5172E" w:rsidP="00E5172E">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pStyle w:val="Prrafodelista"/>
              <w:spacing w:after="0" w:line="240" w:lineRule="auto"/>
              <w:ind w:left="175"/>
              <w:rPr>
                <w:rFonts w:ascii="Times New Roman" w:hAnsi="Times New Roman" w:cs="Times New Roman"/>
                <w:i/>
                <w:sz w:val="20"/>
                <w:lang w:val="es-MX"/>
              </w:rPr>
            </w:pPr>
          </w:p>
          <w:p w:rsidR="00E5172E" w:rsidRPr="006D665D" w:rsidRDefault="00052DBD" w:rsidP="00E5172E">
            <w:r>
              <w:rPr>
                <w:i/>
              </w:rPr>
              <w:t xml:space="preserve">10. </w:t>
            </w:r>
            <w:r w:rsidR="00E5172E" w:rsidRPr="006D665D">
              <w:rPr>
                <w:i/>
              </w:rPr>
              <w:t>País:</w:t>
            </w:r>
            <w:r w:rsidR="004C389F">
              <w:rPr>
                <w:i/>
              </w:rPr>
              <w:t xml:space="preserve"> Guatemala         </w:t>
            </w:r>
            <w:r w:rsidR="00E5172E" w:rsidRPr="006D665D">
              <w:rPr>
                <w:i/>
              </w:rPr>
              <w:t>Función:</w:t>
            </w:r>
          </w:p>
          <w:p w:rsidR="00E5172E" w:rsidRPr="00E5172E" w:rsidRDefault="00E5172E" w:rsidP="00E5172E">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spacing w:after="0" w:line="240" w:lineRule="auto"/>
              <w:rPr>
                <w:i/>
                <w:sz w:val="20"/>
              </w:rPr>
            </w:pPr>
          </w:p>
          <w:p w:rsidR="00052DBD" w:rsidRPr="006D665D" w:rsidRDefault="00052DBD" w:rsidP="00052DBD">
            <w:r>
              <w:rPr>
                <w:i/>
              </w:rPr>
              <w:t xml:space="preserve">11. </w:t>
            </w:r>
            <w:r w:rsidR="004C389F">
              <w:rPr>
                <w:i/>
              </w:rPr>
              <w:t xml:space="preserve">País: México               </w:t>
            </w:r>
            <w:r w:rsidRPr="006D665D">
              <w:rPr>
                <w:i/>
              </w:rPr>
              <w:t>Función:</w:t>
            </w:r>
          </w:p>
          <w:p w:rsidR="00052DBD" w:rsidRDefault="00052DBD" w:rsidP="00052DBD">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052DBD" w:rsidRPr="00E5172E" w:rsidRDefault="00052DBD" w:rsidP="00052DB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052DBD" w:rsidRDefault="00052DBD" w:rsidP="00E5172E">
            <w:pPr>
              <w:spacing w:after="0" w:line="240" w:lineRule="auto"/>
              <w:rPr>
                <w:i/>
                <w:sz w:val="20"/>
              </w:rPr>
            </w:pPr>
          </w:p>
          <w:p w:rsidR="00052DBD" w:rsidRPr="006D665D" w:rsidRDefault="00052DBD" w:rsidP="00052DBD">
            <w:r>
              <w:rPr>
                <w:i/>
              </w:rPr>
              <w:t xml:space="preserve">12. </w:t>
            </w:r>
            <w:r w:rsidRPr="006D665D">
              <w:rPr>
                <w:i/>
              </w:rPr>
              <w:t>País:</w:t>
            </w:r>
            <w:r w:rsidR="004C389F">
              <w:rPr>
                <w:i/>
              </w:rPr>
              <w:t xml:space="preserve"> Nicaragua         </w:t>
            </w:r>
            <w:r w:rsidRPr="006D665D">
              <w:rPr>
                <w:i/>
              </w:rPr>
              <w:t>Función:</w:t>
            </w:r>
          </w:p>
          <w:p w:rsidR="00052DBD" w:rsidRPr="00E5172E" w:rsidRDefault="00052DBD" w:rsidP="00052DB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E5172E" w:rsidRDefault="00E5172E" w:rsidP="00E5172E">
            <w:pPr>
              <w:spacing w:after="0" w:line="240" w:lineRule="auto"/>
            </w:pPr>
          </w:p>
          <w:p w:rsidR="00052DBD" w:rsidRPr="006D665D" w:rsidRDefault="00052DBD" w:rsidP="00052DBD">
            <w:r>
              <w:rPr>
                <w:i/>
              </w:rPr>
              <w:t xml:space="preserve">13. </w:t>
            </w:r>
            <w:r w:rsidRPr="006D665D">
              <w:rPr>
                <w:i/>
              </w:rPr>
              <w:t>País:</w:t>
            </w:r>
            <w:r w:rsidR="004C389F">
              <w:rPr>
                <w:i/>
              </w:rPr>
              <w:t xml:space="preserve"> Panamá                </w:t>
            </w:r>
            <w:r w:rsidRPr="006D665D">
              <w:rPr>
                <w:i/>
              </w:rPr>
              <w:t>Función:</w:t>
            </w:r>
          </w:p>
          <w:p w:rsidR="00052DBD" w:rsidRPr="00E5172E" w:rsidRDefault="00052DBD" w:rsidP="00052DB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052DBD" w:rsidRDefault="00052DBD" w:rsidP="00E5172E">
            <w:pPr>
              <w:spacing w:after="0" w:line="240" w:lineRule="auto"/>
            </w:pPr>
          </w:p>
          <w:p w:rsidR="00052DBD" w:rsidRPr="006D665D" w:rsidRDefault="00052DBD" w:rsidP="00052DBD">
            <w:r>
              <w:rPr>
                <w:i/>
              </w:rPr>
              <w:t xml:space="preserve">14. </w:t>
            </w:r>
            <w:r w:rsidRPr="006D665D">
              <w:rPr>
                <w:i/>
              </w:rPr>
              <w:t>País:</w:t>
            </w:r>
            <w:r w:rsidR="004C389F">
              <w:rPr>
                <w:i/>
              </w:rPr>
              <w:t xml:space="preserve"> Perú                     </w:t>
            </w:r>
            <w:r w:rsidRPr="006D665D">
              <w:rPr>
                <w:i/>
              </w:rPr>
              <w:t>Función:</w:t>
            </w:r>
          </w:p>
          <w:p w:rsidR="00052DBD" w:rsidRDefault="00052DBD" w:rsidP="00052DBD">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052DBD" w:rsidRPr="00E5172E" w:rsidRDefault="00052DBD" w:rsidP="00052DB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052DBD" w:rsidRDefault="00052DBD" w:rsidP="00E5172E">
            <w:pPr>
              <w:spacing w:after="0" w:line="240" w:lineRule="auto"/>
            </w:pPr>
          </w:p>
          <w:p w:rsidR="00052DBD" w:rsidRPr="006D665D" w:rsidRDefault="00052DBD" w:rsidP="00052DBD">
            <w:r>
              <w:rPr>
                <w:i/>
              </w:rPr>
              <w:t xml:space="preserve">15. </w:t>
            </w:r>
            <w:r w:rsidRPr="006D665D">
              <w:rPr>
                <w:i/>
              </w:rPr>
              <w:t>País:</w:t>
            </w:r>
            <w:r w:rsidR="004C389F">
              <w:rPr>
                <w:i/>
              </w:rPr>
              <w:t xml:space="preserve"> Venezuela            </w:t>
            </w:r>
            <w:r w:rsidRPr="006D665D">
              <w:rPr>
                <w:i/>
              </w:rPr>
              <w:t>Función:</w:t>
            </w:r>
          </w:p>
          <w:p w:rsidR="00052DBD" w:rsidRDefault="00052DBD" w:rsidP="00052DBD">
            <w:pPr>
              <w:pStyle w:val="Prrafodelista"/>
              <w:numPr>
                <w:ilvl w:val="3"/>
                <w:numId w:val="1"/>
              </w:numPr>
              <w:spacing w:after="0" w:line="240" w:lineRule="auto"/>
              <w:ind w:left="3577" w:hanging="386"/>
              <w:rPr>
                <w:rFonts w:ascii="Times New Roman" w:hAnsi="Times New Roman" w:cs="Times New Roman"/>
                <w:i/>
                <w:sz w:val="20"/>
                <w:lang w:val="es-MX"/>
              </w:rPr>
            </w:pPr>
            <w:r w:rsidRPr="006D665D">
              <w:rPr>
                <w:rFonts w:ascii="Times New Roman" w:hAnsi="Times New Roman" w:cs="Times New Roman"/>
                <w:i/>
                <w:sz w:val="20"/>
                <w:lang w:val="es-MX"/>
              </w:rPr>
              <w:t>Recurso (aporta conocimientos</w:t>
            </w:r>
            <w:r w:rsidRPr="006D665D">
              <w:rPr>
                <w:rFonts w:ascii="Times New Roman" w:hAnsi="Times New Roman" w:cs="Times New Roman"/>
                <w:i/>
                <w:sz w:val="20"/>
                <w:lang w:val="es-MX"/>
              </w:rPr>
              <w:br/>
              <w:t>especializados)</w:t>
            </w:r>
          </w:p>
          <w:p w:rsidR="00052DBD" w:rsidRPr="00E5172E" w:rsidRDefault="00052DBD" w:rsidP="00052DBD">
            <w:pPr>
              <w:pStyle w:val="Prrafodelista"/>
              <w:numPr>
                <w:ilvl w:val="3"/>
                <w:numId w:val="1"/>
              </w:numPr>
              <w:spacing w:after="0" w:line="240" w:lineRule="auto"/>
              <w:ind w:left="3577" w:hanging="386"/>
              <w:rPr>
                <w:rFonts w:ascii="Times New Roman" w:hAnsi="Times New Roman" w:cs="Times New Roman"/>
                <w:lang w:val="es-MX"/>
              </w:rPr>
            </w:pPr>
            <w:r w:rsidRPr="006D665D">
              <w:rPr>
                <w:rFonts w:ascii="Times New Roman" w:hAnsi="Times New Roman" w:cs="Times New Roman"/>
                <w:i/>
                <w:sz w:val="20"/>
                <w:lang w:val="es-MX"/>
              </w:rPr>
              <w:t>Destinatario (recibe conocimientos</w:t>
            </w:r>
            <w:r w:rsidRPr="006D665D">
              <w:rPr>
                <w:rFonts w:ascii="Times New Roman" w:hAnsi="Times New Roman" w:cs="Times New Roman"/>
                <w:i/>
                <w:sz w:val="20"/>
                <w:lang w:val="es-MX"/>
              </w:rPr>
              <w:br/>
              <w:t>especializados)</w:t>
            </w:r>
          </w:p>
          <w:p w:rsidR="00052DBD" w:rsidRPr="00E5172E" w:rsidRDefault="00052DBD" w:rsidP="00E5172E">
            <w:pPr>
              <w:spacing w:after="0" w:line="240" w:lineRule="auto"/>
            </w:pPr>
          </w:p>
        </w:tc>
      </w:tr>
      <w:tr w:rsidR="005C11FD" w:rsidRPr="006D665D" w:rsidTr="008F7BC4">
        <w:trPr>
          <w:trHeight w:val="113"/>
        </w:trPr>
        <w:tc>
          <w:tcPr>
            <w:tcW w:w="2127" w:type="dxa"/>
            <w:shd w:val="clear" w:color="auto" w:fill="D9D9D9"/>
            <w:hideMark/>
          </w:tcPr>
          <w:p w:rsidR="005C11FD" w:rsidRPr="006D665D" w:rsidRDefault="005C11FD" w:rsidP="008F7BC4">
            <w:pPr>
              <w:jc w:val="left"/>
              <w:rPr>
                <w:sz w:val="16"/>
              </w:rPr>
            </w:pPr>
          </w:p>
        </w:tc>
        <w:tc>
          <w:tcPr>
            <w:tcW w:w="7195" w:type="dxa"/>
            <w:gridSpan w:val="6"/>
            <w:shd w:val="clear" w:color="auto" w:fill="D9D9D9"/>
            <w:hideMark/>
          </w:tcPr>
          <w:p w:rsidR="005C11FD" w:rsidRPr="006D665D" w:rsidRDefault="005C11FD" w:rsidP="008F7BC4">
            <w:pPr>
              <w:rPr>
                <w:i/>
                <w:sz w:val="16"/>
              </w:rPr>
            </w:pPr>
          </w:p>
        </w:tc>
      </w:tr>
      <w:tr w:rsidR="005C11FD" w:rsidRPr="006D665D" w:rsidTr="008F7BC4">
        <w:trPr>
          <w:trHeight w:val="378"/>
        </w:trPr>
        <w:tc>
          <w:tcPr>
            <w:tcW w:w="2127" w:type="dxa"/>
            <w:vMerge w:val="restart"/>
          </w:tcPr>
          <w:p w:rsidR="005C11FD" w:rsidRPr="006D665D" w:rsidRDefault="005C11FD" w:rsidP="008F7BC4">
            <w:pPr>
              <w:jc w:val="left"/>
            </w:pPr>
            <w:r w:rsidRPr="006D665D">
              <w:rPr>
                <w:b/>
                <w:sz w:val="18"/>
              </w:rPr>
              <w:t>Financiación y presupuesto del proyecto</w:t>
            </w:r>
          </w:p>
        </w:tc>
        <w:tc>
          <w:tcPr>
            <w:tcW w:w="7195" w:type="dxa"/>
            <w:gridSpan w:val="6"/>
          </w:tcPr>
          <w:p w:rsidR="005C11FD" w:rsidRPr="006D665D" w:rsidRDefault="005C11FD" w:rsidP="008F7BC4">
            <w:pPr>
              <w:jc w:val="left"/>
            </w:pPr>
            <w:r w:rsidRPr="006D665D">
              <w:rPr>
                <w:i/>
              </w:rPr>
              <w:t>Proporcione una estimación de los costos totales del proyecto y de los fondos que se prevé recibir de cada parte interesada.</w:t>
            </w:r>
          </w:p>
        </w:tc>
      </w:tr>
      <w:tr w:rsidR="005C11FD" w:rsidRPr="006D665D" w:rsidTr="008F7BC4">
        <w:trPr>
          <w:trHeight w:val="174"/>
        </w:trPr>
        <w:tc>
          <w:tcPr>
            <w:tcW w:w="2127" w:type="dxa"/>
            <w:vMerge/>
          </w:tcPr>
          <w:p w:rsidR="005C11FD" w:rsidRPr="006D665D" w:rsidRDefault="005C11FD" w:rsidP="008F7BC4">
            <w:pPr>
              <w:rPr>
                <w:b/>
                <w:sz w:val="18"/>
              </w:rPr>
            </w:pPr>
          </w:p>
        </w:tc>
        <w:tc>
          <w:tcPr>
            <w:tcW w:w="4253" w:type="dxa"/>
            <w:gridSpan w:val="3"/>
          </w:tcPr>
          <w:p w:rsidR="005C11FD" w:rsidRPr="006D665D" w:rsidRDefault="005C11FD" w:rsidP="008F7BC4">
            <w:pPr>
              <w:jc w:val="left"/>
              <w:rPr>
                <w:i/>
              </w:rPr>
            </w:pPr>
          </w:p>
        </w:tc>
        <w:tc>
          <w:tcPr>
            <w:tcW w:w="993" w:type="dxa"/>
          </w:tcPr>
          <w:p w:rsidR="005C11FD" w:rsidRPr="006D665D" w:rsidRDefault="005C11FD" w:rsidP="008F7BC4">
            <w:pPr>
              <w:jc w:val="left"/>
            </w:pPr>
            <w:r w:rsidRPr="006D665D">
              <w:t>Euros</w:t>
            </w:r>
          </w:p>
        </w:tc>
        <w:tc>
          <w:tcPr>
            <w:tcW w:w="1949" w:type="dxa"/>
            <w:gridSpan w:val="2"/>
          </w:tcPr>
          <w:p w:rsidR="005C11FD" w:rsidRPr="006D665D" w:rsidRDefault="005C11FD" w:rsidP="008F7BC4">
            <w:pPr>
              <w:jc w:val="left"/>
            </w:pPr>
            <w:r w:rsidRPr="006D665D">
              <w:t>Observación</w:t>
            </w:r>
          </w:p>
        </w:tc>
      </w:tr>
      <w:tr w:rsidR="005C11FD" w:rsidRPr="006D665D" w:rsidTr="008F7BC4">
        <w:trPr>
          <w:trHeight w:val="236"/>
        </w:trPr>
        <w:tc>
          <w:tcPr>
            <w:tcW w:w="2127" w:type="dxa"/>
            <w:vMerge/>
          </w:tcPr>
          <w:p w:rsidR="005C11FD" w:rsidRPr="006D665D" w:rsidRDefault="005C11FD" w:rsidP="008F7BC4">
            <w:pPr>
              <w:rPr>
                <w:b/>
                <w:sz w:val="18"/>
              </w:rPr>
            </w:pPr>
          </w:p>
        </w:tc>
        <w:tc>
          <w:tcPr>
            <w:tcW w:w="4253" w:type="dxa"/>
            <w:gridSpan w:val="3"/>
          </w:tcPr>
          <w:p w:rsidR="005C11FD" w:rsidRPr="006D665D" w:rsidRDefault="005C11FD" w:rsidP="008F7BC4">
            <w:pPr>
              <w:jc w:val="left"/>
            </w:pPr>
            <w:r w:rsidRPr="006D665D">
              <w:rPr>
                <w:i/>
              </w:rPr>
              <w:t>Participación de los gobiernos en</w:t>
            </w:r>
            <w:r w:rsidRPr="006D665D">
              <w:rPr>
                <w:i/>
              </w:rPr>
              <w:br/>
              <w:t>los gastos</w:t>
            </w:r>
          </w:p>
        </w:tc>
        <w:tc>
          <w:tcPr>
            <w:tcW w:w="993" w:type="dxa"/>
          </w:tcPr>
          <w:p w:rsidR="005C11FD" w:rsidRPr="006D665D" w:rsidRDefault="005C11FD" w:rsidP="008F7BC4">
            <w:pPr>
              <w:jc w:val="left"/>
              <w:rPr>
                <w:highlight w:val="yellow"/>
              </w:rPr>
            </w:pPr>
          </w:p>
        </w:tc>
        <w:tc>
          <w:tcPr>
            <w:tcW w:w="1949" w:type="dxa"/>
            <w:gridSpan w:val="2"/>
          </w:tcPr>
          <w:p w:rsidR="005C11FD" w:rsidRPr="006D665D" w:rsidRDefault="005C11FD" w:rsidP="008F7BC4">
            <w:pPr>
              <w:jc w:val="left"/>
            </w:pPr>
            <w:r w:rsidRPr="006D665D">
              <w:t>(remítase al OIEA)</w:t>
            </w:r>
          </w:p>
        </w:tc>
      </w:tr>
      <w:tr w:rsidR="005C11FD" w:rsidRPr="006D665D" w:rsidTr="008F7BC4">
        <w:trPr>
          <w:trHeight w:val="263"/>
        </w:trPr>
        <w:tc>
          <w:tcPr>
            <w:tcW w:w="2127" w:type="dxa"/>
            <w:vMerge/>
          </w:tcPr>
          <w:p w:rsidR="005C11FD" w:rsidRPr="006D665D" w:rsidRDefault="005C11FD" w:rsidP="008F7BC4">
            <w:pPr>
              <w:rPr>
                <w:b/>
                <w:sz w:val="18"/>
              </w:rPr>
            </w:pPr>
          </w:p>
        </w:tc>
        <w:tc>
          <w:tcPr>
            <w:tcW w:w="4253" w:type="dxa"/>
            <w:gridSpan w:val="3"/>
          </w:tcPr>
          <w:p w:rsidR="005C11FD" w:rsidRPr="006D665D" w:rsidRDefault="005C11FD" w:rsidP="008F7BC4">
            <w:pPr>
              <w:jc w:val="left"/>
            </w:pPr>
            <w:r w:rsidRPr="006D665D">
              <w:rPr>
                <w:i/>
              </w:rPr>
              <w:t>Instituciones de contraparte</w:t>
            </w:r>
          </w:p>
        </w:tc>
        <w:tc>
          <w:tcPr>
            <w:tcW w:w="993" w:type="dxa"/>
          </w:tcPr>
          <w:p w:rsidR="005C11FD" w:rsidRPr="005C73E3" w:rsidRDefault="005C73E3" w:rsidP="008F7BC4">
            <w:pPr>
              <w:jc w:val="left"/>
              <w:rPr>
                <w:i/>
              </w:rPr>
            </w:pPr>
            <w:r w:rsidRPr="005C73E3">
              <w:rPr>
                <w:i/>
              </w:rPr>
              <w:t>150,000</w:t>
            </w:r>
          </w:p>
        </w:tc>
        <w:tc>
          <w:tcPr>
            <w:tcW w:w="1949" w:type="dxa"/>
            <w:gridSpan w:val="2"/>
          </w:tcPr>
          <w:p w:rsidR="005C11FD" w:rsidRPr="006D665D" w:rsidRDefault="005C11FD" w:rsidP="008F7BC4">
            <w:pPr>
              <w:jc w:val="left"/>
              <w:rPr>
                <w:highlight w:val="yellow"/>
              </w:rPr>
            </w:pPr>
          </w:p>
        </w:tc>
      </w:tr>
      <w:tr w:rsidR="005C11FD" w:rsidRPr="006D665D" w:rsidTr="008F7BC4">
        <w:trPr>
          <w:trHeight w:val="263"/>
        </w:trPr>
        <w:tc>
          <w:tcPr>
            <w:tcW w:w="2127" w:type="dxa"/>
            <w:vMerge/>
          </w:tcPr>
          <w:p w:rsidR="005C11FD" w:rsidRPr="006D665D" w:rsidRDefault="005C11FD" w:rsidP="008F7BC4">
            <w:pPr>
              <w:rPr>
                <w:b/>
                <w:sz w:val="18"/>
              </w:rPr>
            </w:pPr>
          </w:p>
        </w:tc>
        <w:tc>
          <w:tcPr>
            <w:tcW w:w="4253" w:type="dxa"/>
            <w:gridSpan w:val="3"/>
          </w:tcPr>
          <w:p w:rsidR="005C11FD" w:rsidRPr="006D665D" w:rsidRDefault="005C11FD" w:rsidP="008F7BC4">
            <w:pPr>
              <w:jc w:val="left"/>
            </w:pPr>
            <w:r w:rsidRPr="006D665D">
              <w:rPr>
                <w:i/>
              </w:rPr>
              <w:t>Otros asociados</w:t>
            </w:r>
          </w:p>
        </w:tc>
        <w:tc>
          <w:tcPr>
            <w:tcW w:w="993" w:type="dxa"/>
          </w:tcPr>
          <w:p w:rsidR="005C11FD" w:rsidRPr="006D665D" w:rsidRDefault="005C11FD" w:rsidP="008F7BC4">
            <w:pPr>
              <w:jc w:val="left"/>
              <w:rPr>
                <w:highlight w:val="yellow"/>
              </w:rPr>
            </w:pPr>
          </w:p>
        </w:tc>
        <w:tc>
          <w:tcPr>
            <w:tcW w:w="1949" w:type="dxa"/>
            <w:gridSpan w:val="2"/>
          </w:tcPr>
          <w:p w:rsidR="005C11FD" w:rsidRPr="006D665D" w:rsidRDefault="005C11FD" w:rsidP="008F7BC4">
            <w:pPr>
              <w:jc w:val="left"/>
            </w:pPr>
            <w:r w:rsidRPr="006D665D">
              <w:t>Indique cuáles</w:t>
            </w:r>
          </w:p>
        </w:tc>
      </w:tr>
      <w:tr w:rsidR="005C11FD" w:rsidRPr="006D665D" w:rsidTr="008F7BC4">
        <w:trPr>
          <w:trHeight w:val="199"/>
        </w:trPr>
        <w:tc>
          <w:tcPr>
            <w:tcW w:w="2127" w:type="dxa"/>
            <w:vMerge/>
          </w:tcPr>
          <w:p w:rsidR="005C11FD" w:rsidRPr="006D665D" w:rsidRDefault="005C11FD" w:rsidP="008F7BC4">
            <w:pPr>
              <w:rPr>
                <w:b/>
                <w:sz w:val="18"/>
              </w:rPr>
            </w:pPr>
          </w:p>
        </w:tc>
        <w:tc>
          <w:tcPr>
            <w:tcW w:w="1792" w:type="dxa"/>
            <w:vMerge w:val="restart"/>
          </w:tcPr>
          <w:p w:rsidR="005C11FD" w:rsidRPr="006D665D" w:rsidRDefault="005C11FD" w:rsidP="008F7BC4">
            <w:pPr>
              <w:jc w:val="left"/>
            </w:pPr>
            <w:r w:rsidRPr="006D665D">
              <w:rPr>
                <w:i/>
              </w:rPr>
              <w:t>Fondo de Cooperación Técnica (FCT) del OIEA</w:t>
            </w:r>
          </w:p>
        </w:tc>
        <w:tc>
          <w:tcPr>
            <w:tcW w:w="2461" w:type="dxa"/>
            <w:gridSpan w:val="2"/>
          </w:tcPr>
          <w:p w:rsidR="005C11FD" w:rsidRPr="006D665D" w:rsidRDefault="005C11FD" w:rsidP="008F7BC4">
            <w:pPr>
              <w:jc w:val="left"/>
            </w:pPr>
            <w:r w:rsidRPr="006D665D">
              <w:rPr>
                <w:i/>
              </w:rPr>
              <w:t>Becas/visitas científicas/cursos de capacitación/talleres</w:t>
            </w:r>
          </w:p>
        </w:tc>
        <w:tc>
          <w:tcPr>
            <w:tcW w:w="993" w:type="dxa"/>
          </w:tcPr>
          <w:p w:rsidR="005C11FD" w:rsidRPr="006D665D" w:rsidRDefault="005C73E3" w:rsidP="008F7BC4">
            <w:pPr>
              <w:jc w:val="left"/>
              <w:rPr>
                <w:highlight w:val="yellow"/>
              </w:rPr>
            </w:pPr>
            <w:r w:rsidRPr="005C73E3">
              <w:rPr>
                <w:i/>
              </w:rPr>
              <w:t>250,000</w:t>
            </w:r>
          </w:p>
        </w:tc>
        <w:tc>
          <w:tcPr>
            <w:tcW w:w="1949" w:type="dxa"/>
            <w:gridSpan w:val="2"/>
          </w:tcPr>
          <w:p w:rsidR="005C11FD" w:rsidRPr="006D665D" w:rsidRDefault="005C11FD" w:rsidP="008F7BC4">
            <w:pPr>
              <w:jc w:val="left"/>
              <w:rPr>
                <w:highlight w:val="yellow"/>
              </w:rPr>
            </w:pPr>
          </w:p>
        </w:tc>
      </w:tr>
      <w:tr w:rsidR="005C11FD" w:rsidRPr="006D665D" w:rsidTr="008F7BC4">
        <w:trPr>
          <w:trHeight w:val="199"/>
        </w:trPr>
        <w:tc>
          <w:tcPr>
            <w:tcW w:w="2127" w:type="dxa"/>
            <w:vMerge/>
          </w:tcPr>
          <w:p w:rsidR="005C11FD" w:rsidRPr="006D665D" w:rsidRDefault="005C11FD" w:rsidP="008F7BC4">
            <w:pPr>
              <w:rPr>
                <w:b/>
                <w:sz w:val="18"/>
              </w:rPr>
            </w:pPr>
          </w:p>
        </w:tc>
        <w:tc>
          <w:tcPr>
            <w:tcW w:w="1792" w:type="dxa"/>
            <w:vMerge/>
          </w:tcPr>
          <w:p w:rsidR="005C11FD" w:rsidRPr="006D665D" w:rsidRDefault="005C11FD" w:rsidP="008F7BC4">
            <w:pPr>
              <w:jc w:val="left"/>
              <w:rPr>
                <w:i/>
              </w:rPr>
            </w:pPr>
          </w:p>
        </w:tc>
        <w:tc>
          <w:tcPr>
            <w:tcW w:w="2461" w:type="dxa"/>
            <w:gridSpan w:val="2"/>
          </w:tcPr>
          <w:p w:rsidR="005C11FD" w:rsidRPr="006D665D" w:rsidRDefault="005C11FD" w:rsidP="008F7BC4">
            <w:pPr>
              <w:jc w:val="left"/>
            </w:pPr>
            <w:r w:rsidRPr="006D665D">
              <w:rPr>
                <w:i/>
              </w:rPr>
              <w:t>Expertos</w:t>
            </w:r>
          </w:p>
        </w:tc>
        <w:tc>
          <w:tcPr>
            <w:tcW w:w="993" w:type="dxa"/>
          </w:tcPr>
          <w:p w:rsidR="005C11FD" w:rsidRPr="006D665D" w:rsidRDefault="005C73E3" w:rsidP="008F7BC4">
            <w:pPr>
              <w:jc w:val="left"/>
              <w:rPr>
                <w:i/>
              </w:rPr>
            </w:pPr>
            <w:r>
              <w:rPr>
                <w:i/>
              </w:rPr>
              <w:t>50,000</w:t>
            </w:r>
          </w:p>
        </w:tc>
        <w:tc>
          <w:tcPr>
            <w:tcW w:w="1949" w:type="dxa"/>
            <w:gridSpan w:val="2"/>
          </w:tcPr>
          <w:p w:rsidR="005C11FD" w:rsidRPr="006D665D" w:rsidRDefault="005C11FD" w:rsidP="008F7BC4">
            <w:pPr>
              <w:jc w:val="left"/>
              <w:rPr>
                <w:i/>
              </w:rPr>
            </w:pPr>
          </w:p>
        </w:tc>
      </w:tr>
      <w:tr w:rsidR="005C11FD" w:rsidRPr="006D665D" w:rsidTr="008F7BC4">
        <w:trPr>
          <w:trHeight w:val="245"/>
        </w:trPr>
        <w:tc>
          <w:tcPr>
            <w:tcW w:w="2127" w:type="dxa"/>
            <w:vMerge/>
          </w:tcPr>
          <w:p w:rsidR="005C11FD" w:rsidRPr="006D665D" w:rsidRDefault="005C11FD" w:rsidP="008F7BC4">
            <w:pPr>
              <w:rPr>
                <w:b/>
                <w:sz w:val="18"/>
              </w:rPr>
            </w:pPr>
          </w:p>
        </w:tc>
        <w:tc>
          <w:tcPr>
            <w:tcW w:w="1792" w:type="dxa"/>
            <w:vMerge/>
          </w:tcPr>
          <w:p w:rsidR="005C11FD" w:rsidRPr="006D665D" w:rsidRDefault="005C11FD" w:rsidP="008F7BC4">
            <w:pPr>
              <w:jc w:val="left"/>
              <w:rPr>
                <w:i/>
              </w:rPr>
            </w:pPr>
          </w:p>
        </w:tc>
        <w:tc>
          <w:tcPr>
            <w:tcW w:w="2461" w:type="dxa"/>
            <w:gridSpan w:val="2"/>
          </w:tcPr>
          <w:p w:rsidR="005C11FD" w:rsidRPr="006D665D" w:rsidRDefault="005C11FD" w:rsidP="008F7BC4">
            <w:pPr>
              <w:jc w:val="left"/>
            </w:pPr>
            <w:r w:rsidRPr="006D665D">
              <w:rPr>
                <w:i/>
              </w:rPr>
              <w:t>Equipo</w:t>
            </w:r>
          </w:p>
        </w:tc>
        <w:tc>
          <w:tcPr>
            <w:tcW w:w="993" w:type="dxa"/>
          </w:tcPr>
          <w:p w:rsidR="005C11FD" w:rsidRPr="006D665D" w:rsidRDefault="005C73E3" w:rsidP="008F7BC4">
            <w:pPr>
              <w:jc w:val="left"/>
              <w:rPr>
                <w:i/>
              </w:rPr>
            </w:pPr>
            <w:r>
              <w:rPr>
                <w:i/>
              </w:rPr>
              <w:t>300,000</w:t>
            </w:r>
          </w:p>
        </w:tc>
        <w:tc>
          <w:tcPr>
            <w:tcW w:w="1949" w:type="dxa"/>
            <w:gridSpan w:val="2"/>
          </w:tcPr>
          <w:p w:rsidR="005C11FD" w:rsidRPr="006D665D" w:rsidRDefault="005C11FD" w:rsidP="008F7BC4">
            <w:pPr>
              <w:jc w:val="left"/>
              <w:rPr>
                <w:i/>
              </w:rPr>
            </w:pPr>
          </w:p>
        </w:tc>
      </w:tr>
      <w:tr w:rsidR="005C11FD" w:rsidRPr="006D665D" w:rsidTr="008F7BC4">
        <w:trPr>
          <w:trHeight w:val="92"/>
        </w:trPr>
        <w:tc>
          <w:tcPr>
            <w:tcW w:w="2127" w:type="dxa"/>
            <w:vMerge/>
          </w:tcPr>
          <w:p w:rsidR="005C11FD" w:rsidRPr="006D665D" w:rsidRDefault="005C11FD" w:rsidP="008F7BC4">
            <w:pPr>
              <w:rPr>
                <w:b/>
                <w:sz w:val="18"/>
              </w:rPr>
            </w:pPr>
          </w:p>
        </w:tc>
        <w:tc>
          <w:tcPr>
            <w:tcW w:w="4253" w:type="dxa"/>
            <w:gridSpan w:val="3"/>
            <w:shd w:val="clear" w:color="auto" w:fill="D9D9D9"/>
          </w:tcPr>
          <w:p w:rsidR="005C11FD" w:rsidRPr="006D665D" w:rsidRDefault="005C11FD" w:rsidP="008F7BC4">
            <w:pPr>
              <w:jc w:val="right"/>
              <w:rPr>
                <w:i/>
                <w:sz w:val="10"/>
              </w:rPr>
            </w:pPr>
          </w:p>
        </w:tc>
        <w:tc>
          <w:tcPr>
            <w:tcW w:w="993" w:type="dxa"/>
            <w:shd w:val="clear" w:color="auto" w:fill="D9D9D9"/>
          </w:tcPr>
          <w:p w:rsidR="005C11FD" w:rsidRPr="006D665D" w:rsidRDefault="005C11FD" w:rsidP="008F7BC4">
            <w:pPr>
              <w:rPr>
                <w:i/>
                <w:sz w:val="10"/>
              </w:rPr>
            </w:pPr>
          </w:p>
        </w:tc>
        <w:tc>
          <w:tcPr>
            <w:tcW w:w="1949" w:type="dxa"/>
            <w:gridSpan w:val="2"/>
            <w:shd w:val="clear" w:color="auto" w:fill="D9D9D9"/>
          </w:tcPr>
          <w:p w:rsidR="005C11FD" w:rsidRPr="006D665D" w:rsidRDefault="005C11FD" w:rsidP="008F7BC4">
            <w:pPr>
              <w:rPr>
                <w:i/>
                <w:sz w:val="10"/>
              </w:rPr>
            </w:pPr>
          </w:p>
        </w:tc>
      </w:tr>
      <w:tr w:rsidR="005C11FD" w:rsidRPr="006D665D" w:rsidTr="008F7BC4">
        <w:trPr>
          <w:trHeight w:val="138"/>
        </w:trPr>
        <w:tc>
          <w:tcPr>
            <w:tcW w:w="2127" w:type="dxa"/>
            <w:vMerge/>
          </w:tcPr>
          <w:p w:rsidR="005C11FD" w:rsidRPr="006D665D" w:rsidRDefault="005C11FD" w:rsidP="008F7BC4">
            <w:pPr>
              <w:rPr>
                <w:b/>
                <w:sz w:val="18"/>
              </w:rPr>
            </w:pPr>
          </w:p>
        </w:tc>
        <w:tc>
          <w:tcPr>
            <w:tcW w:w="4253" w:type="dxa"/>
            <w:gridSpan w:val="3"/>
          </w:tcPr>
          <w:p w:rsidR="005C11FD" w:rsidRPr="006D665D" w:rsidRDefault="005C11FD" w:rsidP="008F7BC4">
            <w:pPr>
              <w:jc w:val="right"/>
            </w:pPr>
            <w:r w:rsidRPr="006D665D">
              <w:rPr>
                <w:i/>
              </w:rPr>
              <w:t>TOTAL</w:t>
            </w:r>
          </w:p>
        </w:tc>
        <w:tc>
          <w:tcPr>
            <w:tcW w:w="993" w:type="dxa"/>
          </w:tcPr>
          <w:p w:rsidR="005C11FD" w:rsidRPr="006D665D" w:rsidRDefault="005C73E3" w:rsidP="008F7BC4">
            <w:pPr>
              <w:rPr>
                <w:i/>
              </w:rPr>
            </w:pPr>
            <w:r>
              <w:rPr>
                <w:i/>
              </w:rPr>
              <w:t>750,000</w:t>
            </w:r>
          </w:p>
        </w:tc>
        <w:tc>
          <w:tcPr>
            <w:tcW w:w="1949" w:type="dxa"/>
            <w:gridSpan w:val="2"/>
          </w:tcPr>
          <w:p w:rsidR="005C11FD" w:rsidRPr="006D665D" w:rsidRDefault="005C11FD" w:rsidP="008F7BC4">
            <w:pPr>
              <w:rPr>
                <w:i/>
              </w:rPr>
            </w:pPr>
          </w:p>
        </w:tc>
      </w:tr>
    </w:tbl>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493CD7" w:rsidRDefault="00493CD7" w:rsidP="005C11FD"/>
    <w:p w:rsidR="00EB02B4" w:rsidRDefault="00EB02B4" w:rsidP="00553AA3">
      <w:pPr>
        <w:ind w:left="0" w:firstLine="0"/>
      </w:pPr>
    </w:p>
    <w:sectPr w:rsidR="00EB02B4" w:rsidSect="008F7BC4">
      <w:footerReference w:type="even" r:id="rId9"/>
      <w:footerReference w:type="default" r:id="rId10"/>
      <w:footerReference w:type="first" r:id="rId11"/>
      <w:pgSz w:w="12240" w:h="15840" w:code="1"/>
      <w:pgMar w:top="1077" w:right="1469" w:bottom="1134" w:left="1843"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ED" w:rsidRDefault="007B58ED">
      <w:pPr>
        <w:spacing w:after="0" w:line="240" w:lineRule="auto"/>
      </w:pPr>
      <w:r>
        <w:separator/>
      </w:r>
    </w:p>
  </w:endnote>
  <w:endnote w:type="continuationSeparator" w:id="0">
    <w:p w:rsidR="007B58ED" w:rsidRDefault="007B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E3" w:rsidRDefault="005C73E3">
    <w:pPr>
      <w:tabs>
        <w:tab w:val="center" w:pos="4040"/>
        <w:tab w:val="center" w:pos="7537"/>
      </w:tabs>
      <w:spacing w:after="0" w:line="259" w:lineRule="auto"/>
      <w:ind w:left="0" w:firstLine="0"/>
      <w:jc w:val="left"/>
    </w:pPr>
    <w:r>
      <w:rPr>
        <w:rFonts w:ascii="Calibri" w:eastAsia="Calibri" w:hAnsi="Calibri" w:cs="Calibri"/>
        <w:color w:val="BFBFBF"/>
        <w:sz w:val="24"/>
      </w:rPr>
      <w:tab/>
    </w:r>
    <w:r>
      <w:rPr>
        <w:rFonts w:ascii="Calibri" w:eastAsia="Calibri" w:hAnsi="Calibri" w:cs="Calibri"/>
        <w:color w:val="BFBFBF"/>
        <w:sz w:val="24"/>
      </w:rPr>
      <w:tab/>
      <w:t xml:space="preserve">Página </w:t>
    </w:r>
    <w:r w:rsidR="000906DE">
      <w:fldChar w:fldCharType="begin"/>
    </w:r>
    <w:r>
      <w:instrText xml:space="preserve"> PAGE   \* MERGEFORMAT </w:instrText>
    </w:r>
    <w:r w:rsidR="000906DE">
      <w:fldChar w:fldCharType="separate"/>
    </w:r>
    <w:r>
      <w:rPr>
        <w:rFonts w:ascii="Calibri" w:eastAsia="Calibri" w:hAnsi="Calibri" w:cs="Calibri"/>
        <w:color w:val="BFBFBF"/>
        <w:sz w:val="24"/>
      </w:rPr>
      <w:t>20</w:t>
    </w:r>
    <w:r w:rsidR="000906DE">
      <w:rPr>
        <w:rFonts w:ascii="Calibri" w:eastAsia="Calibri" w:hAnsi="Calibri" w:cs="Calibri"/>
        <w:color w:val="BFBFBF"/>
        <w:sz w:val="24"/>
      </w:rPr>
      <w:fldChar w:fldCharType="end"/>
    </w:r>
    <w:r>
      <w:rPr>
        <w:rFonts w:ascii="Calibri" w:eastAsia="Calibri" w:hAnsi="Calibri" w:cs="Calibri"/>
        <w:color w:val="BFBFBF"/>
        <w:sz w:val="24"/>
      </w:rPr>
      <w:t xml:space="preserve"> de </w:t>
    </w:r>
    <w:fldSimple w:instr=" NUMPAGES   \* MERGEFORMAT ">
      <w:r w:rsidR="00CD355D" w:rsidRPr="00CD355D">
        <w:rPr>
          <w:rFonts w:ascii="Calibri" w:eastAsia="Calibri" w:hAnsi="Calibri" w:cs="Calibri"/>
          <w:noProof/>
          <w:color w:val="BFBFBF"/>
          <w:sz w:val="24"/>
        </w:rPr>
        <w:t>6</w:t>
      </w:r>
    </w:fldSimple>
  </w:p>
  <w:p w:rsidR="005C73E3" w:rsidRDefault="005C73E3">
    <w:pPr>
      <w:spacing w:after="0" w:line="259" w:lineRule="auto"/>
      <w:ind w:left="0" w:firstLine="0"/>
      <w:jc w:val="left"/>
    </w:pPr>
  </w:p>
  <w:p w:rsidR="005C73E3" w:rsidRDefault="005C73E3">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0515"/>
      <w:docPartObj>
        <w:docPartGallery w:val="Page Numbers (Bottom of Page)"/>
        <w:docPartUnique/>
      </w:docPartObj>
    </w:sdtPr>
    <w:sdtEndPr>
      <w:rPr>
        <w:rFonts w:ascii="Times New Roman" w:hAnsi="Times New Roman" w:cs="Times New Roman"/>
        <w:sz w:val="24"/>
        <w:szCs w:val="24"/>
      </w:rPr>
    </w:sdtEndPr>
    <w:sdtContent>
      <w:p w:rsidR="005C73E3" w:rsidRDefault="000906DE" w:rsidP="008F7BC4">
        <w:pPr>
          <w:pStyle w:val="Piedepgina"/>
          <w:tabs>
            <w:tab w:val="clear" w:pos="9360"/>
          </w:tabs>
          <w:ind w:right="707"/>
          <w:jc w:val="right"/>
          <w:rPr>
            <w:rFonts w:ascii="Times New Roman" w:hAnsi="Times New Roman" w:cs="Times New Roman"/>
            <w:sz w:val="24"/>
            <w:szCs w:val="24"/>
          </w:rPr>
        </w:pPr>
        <w:r w:rsidRPr="001E793C">
          <w:rPr>
            <w:rFonts w:ascii="Times New Roman" w:hAnsi="Times New Roman" w:cs="Times New Roman"/>
            <w:sz w:val="24"/>
            <w:szCs w:val="24"/>
          </w:rPr>
          <w:fldChar w:fldCharType="begin"/>
        </w:r>
        <w:r w:rsidR="005C73E3" w:rsidRPr="001E793C">
          <w:rPr>
            <w:rFonts w:ascii="Times New Roman" w:hAnsi="Times New Roman" w:cs="Times New Roman"/>
            <w:sz w:val="24"/>
            <w:szCs w:val="24"/>
          </w:rPr>
          <w:instrText>PAGE   \* MERGEFORMAT</w:instrText>
        </w:r>
        <w:r w:rsidRPr="001E793C">
          <w:rPr>
            <w:rFonts w:ascii="Times New Roman" w:hAnsi="Times New Roman" w:cs="Times New Roman"/>
            <w:sz w:val="24"/>
            <w:szCs w:val="24"/>
          </w:rPr>
          <w:fldChar w:fldCharType="separate"/>
        </w:r>
        <w:r w:rsidR="00CD355D" w:rsidRPr="00CD355D">
          <w:rPr>
            <w:rFonts w:ascii="Times New Roman" w:hAnsi="Times New Roman" w:cs="Times New Roman"/>
            <w:noProof/>
            <w:sz w:val="24"/>
            <w:szCs w:val="24"/>
            <w:lang w:val="es-ES"/>
          </w:rPr>
          <w:t>6</w:t>
        </w:r>
        <w:r w:rsidRPr="001E793C">
          <w:rPr>
            <w:rFonts w:ascii="Times New Roman" w:hAnsi="Times New Roman" w:cs="Times New Roman"/>
            <w:sz w:val="24"/>
            <w:szCs w:val="24"/>
          </w:rPr>
          <w:fldChar w:fldCharType="end"/>
        </w:r>
      </w:p>
      <w:p w:rsidR="005C73E3" w:rsidRPr="001E793C" w:rsidRDefault="007B58ED" w:rsidP="008F7BC4">
        <w:pPr>
          <w:pStyle w:val="Piedepgina"/>
          <w:tabs>
            <w:tab w:val="clear" w:pos="9360"/>
          </w:tabs>
          <w:ind w:right="707"/>
          <w:jc w:val="right"/>
          <w:rPr>
            <w:rFonts w:ascii="Times New Roman" w:hAnsi="Times New Roman" w:cs="Times New Roman"/>
            <w:sz w:val="24"/>
            <w:szCs w:val="24"/>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579677"/>
      <w:docPartObj>
        <w:docPartGallery w:val="Page Numbers (Bottom of Page)"/>
        <w:docPartUnique/>
      </w:docPartObj>
    </w:sdtPr>
    <w:sdtEndPr/>
    <w:sdtContent>
      <w:p w:rsidR="005C73E3" w:rsidRDefault="005A4D4F">
        <w:pPr>
          <w:pStyle w:val="Piedepgina"/>
          <w:jc w:val="right"/>
        </w:pPr>
        <w:r>
          <w:fldChar w:fldCharType="begin"/>
        </w:r>
        <w:r>
          <w:instrText>PAGE   \* MERGEFORMAT</w:instrText>
        </w:r>
        <w:r>
          <w:fldChar w:fldCharType="separate"/>
        </w:r>
        <w:r w:rsidR="005C73E3" w:rsidRPr="001E793C">
          <w:rPr>
            <w:noProof/>
            <w:lang w:val="es-ES"/>
          </w:rPr>
          <w:t>25</w:t>
        </w:r>
        <w:r>
          <w:rPr>
            <w:noProof/>
            <w:lang w:val="es-ES"/>
          </w:rPr>
          <w:fldChar w:fldCharType="end"/>
        </w:r>
      </w:p>
    </w:sdtContent>
  </w:sdt>
  <w:p w:rsidR="005C73E3" w:rsidRDefault="005C73E3">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ED" w:rsidRDefault="007B58ED">
      <w:pPr>
        <w:spacing w:after="0" w:line="240" w:lineRule="auto"/>
      </w:pPr>
      <w:r>
        <w:separator/>
      </w:r>
    </w:p>
  </w:footnote>
  <w:footnote w:type="continuationSeparator" w:id="0">
    <w:p w:rsidR="007B58ED" w:rsidRDefault="007B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FD"/>
    <w:rsid w:val="0003165D"/>
    <w:rsid w:val="00052DBD"/>
    <w:rsid w:val="00057E84"/>
    <w:rsid w:val="000656C1"/>
    <w:rsid w:val="000733E9"/>
    <w:rsid w:val="0007396B"/>
    <w:rsid w:val="000906DE"/>
    <w:rsid w:val="000B4186"/>
    <w:rsid w:val="000E6311"/>
    <w:rsid w:val="001025E6"/>
    <w:rsid w:val="00120AC4"/>
    <w:rsid w:val="00181861"/>
    <w:rsid w:val="001A3948"/>
    <w:rsid w:val="001D5032"/>
    <w:rsid w:val="001E75F9"/>
    <w:rsid w:val="001F0DB1"/>
    <w:rsid w:val="001F1BC9"/>
    <w:rsid w:val="00271E9D"/>
    <w:rsid w:val="002E4516"/>
    <w:rsid w:val="0031528D"/>
    <w:rsid w:val="00347B14"/>
    <w:rsid w:val="00350B7F"/>
    <w:rsid w:val="003703F9"/>
    <w:rsid w:val="004147F5"/>
    <w:rsid w:val="004715F2"/>
    <w:rsid w:val="00493CD7"/>
    <w:rsid w:val="004B5623"/>
    <w:rsid w:val="004C389F"/>
    <w:rsid w:val="004D565B"/>
    <w:rsid w:val="004D5C3B"/>
    <w:rsid w:val="0051233A"/>
    <w:rsid w:val="0053636E"/>
    <w:rsid w:val="00553AA3"/>
    <w:rsid w:val="005605DD"/>
    <w:rsid w:val="0057231B"/>
    <w:rsid w:val="005A4D4F"/>
    <w:rsid w:val="005B4630"/>
    <w:rsid w:val="005C11FD"/>
    <w:rsid w:val="005C73E3"/>
    <w:rsid w:val="005E22B1"/>
    <w:rsid w:val="00630A97"/>
    <w:rsid w:val="00676E27"/>
    <w:rsid w:val="00695519"/>
    <w:rsid w:val="006A407C"/>
    <w:rsid w:val="00781B18"/>
    <w:rsid w:val="007A71D4"/>
    <w:rsid w:val="007B58ED"/>
    <w:rsid w:val="007F0DF6"/>
    <w:rsid w:val="00801913"/>
    <w:rsid w:val="008105B6"/>
    <w:rsid w:val="0084601D"/>
    <w:rsid w:val="00855078"/>
    <w:rsid w:val="00881AFF"/>
    <w:rsid w:val="008B2E02"/>
    <w:rsid w:val="008B447B"/>
    <w:rsid w:val="008B6994"/>
    <w:rsid w:val="008F7BC4"/>
    <w:rsid w:val="00921D27"/>
    <w:rsid w:val="009B0161"/>
    <w:rsid w:val="009B4429"/>
    <w:rsid w:val="009C06B1"/>
    <w:rsid w:val="009D235C"/>
    <w:rsid w:val="00A0497A"/>
    <w:rsid w:val="00A76A71"/>
    <w:rsid w:val="00AD58B7"/>
    <w:rsid w:val="00B12D44"/>
    <w:rsid w:val="00B921F7"/>
    <w:rsid w:val="00BA62B3"/>
    <w:rsid w:val="00BE69DD"/>
    <w:rsid w:val="00C11309"/>
    <w:rsid w:val="00C40DC0"/>
    <w:rsid w:val="00C61E70"/>
    <w:rsid w:val="00CA6F61"/>
    <w:rsid w:val="00CB39E8"/>
    <w:rsid w:val="00CC7D67"/>
    <w:rsid w:val="00CD355D"/>
    <w:rsid w:val="00D106AC"/>
    <w:rsid w:val="00D10EB4"/>
    <w:rsid w:val="00D875C0"/>
    <w:rsid w:val="00DC09EA"/>
    <w:rsid w:val="00DE3EE1"/>
    <w:rsid w:val="00E37D9D"/>
    <w:rsid w:val="00E433D5"/>
    <w:rsid w:val="00E5172E"/>
    <w:rsid w:val="00EB02B4"/>
    <w:rsid w:val="00EC28A4"/>
    <w:rsid w:val="00EE5BF2"/>
    <w:rsid w:val="00F25D7F"/>
    <w:rsid w:val="00F444CF"/>
    <w:rsid w:val="00F82354"/>
    <w:rsid w:val="00FD3B7F"/>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EC9F8-7270-4350-A062-351BB857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FD"/>
    <w:pPr>
      <w:spacing w:after="5" w:line="247" w:lineRule="auto"/>
      <w:ind w:left="72"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1FD"/>
    <w:pPr>
      <w:spacing w:after="200" w:line="276" w:lineRule="auto"/>
      <w:ind w:left="720" w:firstLine="0"/>
      <w:contextualSpacing/>
      <w:jc w:val="left"/>
    </w:pPr>
    <w:rPr>
      <w:rFonts w:asciiTheme="minorHAnsi" w:eastAsiaTheme="minorHAnsi" w:hAnsiTheme="minorHAnsi" w:cstheme="minorBidi"/>
      <w:color w:val="auto"/>
      <w:lang w:val="es-ES_tradnl" w:eastAsia="en-US"/>
    </w:rPr>
  </w:style>
  <w:style w:type="paragraph" w:customStyle="1" w:styleId="Default">
    <w:name w:val="Default"/>
    <w:rsid w:val="005C11FD"/>
    <w:pPr>
      <w:autoSpaceDE w:val="0"/>
      <w:autoSpaceDN w:val="0"/>
      <w:adjustRightInd w:val="0"/>
      <w:spacing w:after="0" w:line="240" w:lineRule="auto"/>
    </w:pPr>
    <w:rPr>
      <w:rFonts w:ascii="Times New Roman" w:eastAsiaTheme="minorEastAsia" w:hAnsi="Times New Roman" w:cs="Times New Roman"/>
      <w:color w:val="000000"/>
      <w:sz w:val="24"/>
      <w:szCs w:val="24"/>
      <w:lang w:eastAsia="es-MX"/>
    </w:rPr>
  </w:style>
  <w:style w:type="paragraph" w:styleId="Sinespaciado">
    <w:name w:val="No Spacing"/>
    <w:uiPriority w:val="1"/>
    <w:qFormat/>
    <w:rsid w:val="005C11FD"/>
    <w:pPr>
      <w:spacing w:after="0" w:line="240" w:lineRule="auto"/>
      <w:ind w:left="72" w:hanging="10"/>
      <w:jc w:val="both"/>
    </w:pPr>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5C11FD"/>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5C11FD"/>
    <w:rPr>
      <w:sz w:val="21"/>
      <w:szCs w:val="21"/>
      <w:lang w:eastAsia="es-MX"/>
    </w:rPr>
  </w:style>
  <w:style w:type="paragraph" w:styleId="Textodeglobo">
    <w:name w:val="Balloon Text"/>
    <w:basedOn w:val="Normal"/>
    <w:link w:val="TextodegloboCar"/>
    <w:uiPriority w:val="99"/>
    <w:semiHidden/>
    <w:unhideWhenUsed/>
    <w:rsid w:val="005C1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1FD"/>
    <w:rPr>
      <w:rFonts w:ascii="Tahoma" w:eastAsia="Times New Roman" w:hAnsi="Tahoma" w:cs="Tahoma"/>
      <w:color w:val="000000"/>
      <w:sz w:val="16"/>
      <w:szCs w:val="16"/>
      <w:lang w:eastAsia="es-MX"/>
    </w:rPr>
  </w:style>
  <w:style w:type="character" w:styleId="Hipervnculo">
    <w:name w:val="Hyperlink"/>
    <w:basedOn w:val="Fuentedeprrafopredeter"/>
    <w:uiPriority w:val="99"/>
    <w:unhideWhenUsed/>
    <w:rsid w:val="00F444CF"/>
    <w:rPr>
      <w:color w:val="0000FF" w:themeColor="hyperlink"/>
      <w:u w:val="single"/>
    </w:rPr>
  </w:style>
  <w:style w:type="paragraph" w:styleId="Textoindependiente">
    <w:name w:val="Body Text"/>
    <w:basedOn w:val="Normal"/>
    <w:link w:val="TextoindependienteCar"/>
    <w:uiPriority w:val="99"/>
    <w:qFormat/>
    <w:rsid w:val="0057231B"/>
    <w:pPr>
      <w:spacing w:after="170" w:line="280" w:lineRule="atLeast"/>
      <w:ind w:left="0" w:firstLine="0"/>
    </w:pPr>
    <w:rPr>
      <w:snapToGrid w:val="0"/>
      <w:color w:val="auto"/>
      <w:szCs w:val="20"/>
      <w:lang w:val="en-GB" w:eastAsia="en-GB"/>
    </w:rPr>
  </w:style>
  <w:style w:type="character" w:customStyle="1" w:styleId="TextoindependienteCar">
    <w:name w:val="Texto independiente Car"/>
    <w:basedOn w:val="Fuentedeprrafopredeter"/>
    <w:link w:val="Textoindependiente"/>
    <w:uiPriority w:val="99"/>
    <w:rsid w:val="0057231B"/>
    <w:rPr>
      <w:rFonts w:ascii="Times New Roman" w:eastAsia="Times New Roman" w:hAnsi="Times New Roman" w:cs="Times New Roman"/>
      <w:snapToGrid w:val="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de la Cruz González</dc:creator>
  <cp:lastModifiedBy>Usuario de Windows</cp:lastModifiedBy>
  <cp:revision>2</cp:revision>
  <cp:lastPrinted>2018-02-26T15:18:00Z</cp:lastPrinted>
  <dcterms:created xsi:type="dcterms:W3CDTF">2018-02-26T15:18:00Z</dcterms:created>
  <dcterms:modified xsi:type="dcterms:W3CDTF">2018-02-26T15:18:00Z</dcterms:modified>
</cp:coreProperties>
</file>