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CEE" w:rsidRDefault="00313CEE" w:rsidP="00D34D10">
      <w:pPr>
        <w:jc w:val="center"/>
      </w:pPr>
      <w:r>
        <w:t>PERFIL DE PROPUESTA DE PROYECTO REGIONAL</w:t>
      </w:r>
    </w:p>
    <w:p w:rsidR="00313CEE" w:rsidRDefault="00313CEE"/>
    <w:p w:rsidR="00313CEE" w:rsidRDefault="00313CEE"/>
    <w:tbl>
      <w:tblPr>
        <w:tblW w:w="932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0A0"/>
      </w:tblPr>
      <w:tblGrid>
        <w:gridCol w:w="3085"/>
        <w:gridCol w:w="6237"/>
      </w:tblGrid>
      <w:tr w:rsidR="00313CEE" w:rsidRPr="00983CF0">
        <w:tc>
          <w:tcPr>
            <w:tcW w:w="3085" w:type="dxa"/>
            <w:tcBorders>
              <w:top w:val="single" w:sz="12" w:space="0" w:color="auto"/>
            </w:tcBorders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t xml:space="preserve">Nº del proyecto: 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C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CF0">
              <w:rPr>
                <w:rFonts w:ascii="Arial" w:hAnsi="Arial" w:cs="Arial"/>
                <w:sz w:val="20"/>
                <w:szCs w:val="20"/>
              </w:rPr>
            </w:r>
            <w:r w:rsidRPr="00983C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3CEE" w:rsidRPr="00983CF0">
        <w:tc>
          <w:tcPr>
            <w:tcW w:w="3085" w:type="dxa"/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t xml:space="preserve">Título del proyecto: </w:t>
            </w:r>
          </w:p>
        </w:tc>
        <w:tc>
          <w:tcPr>
            <w:tcW w:w="6237" w:type="dxa"/>
          </w:tcPr>
          <w:p w:rsidR="00313CEE" w:rsidRPr="000F268E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0F26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68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F268E">
              <w:rPr>
                <w:rFonts w:ascii="Arial" w:hAnsi="Arial" w:cs="Arial"/>
                <w:sz w:val="20"/>
                <w:szCs w:val="20"/>
              </w:rPr>
            </w:r>
            <w:r w:rsidRPr="000F268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F268E">
              <w:rPr>
                <w:rFonts w:ascii="Arial" w:hAnsi="Arial" w:cs="Arial"/>
                <w:sz w:val="20"/>
                <w:szCs w:val="20"/>
              </w:rPr>
              <w:t>Sistema regional de formación, evaluación, certificación y acreditación de recursos humanos dedicados a las diferentes áreas de la radiofarmacia.</w:t>
            </w:r>
            <w:r w:rsidRPr="000F2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268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3CEE" w:rsidRPr="00983CF0">
        <w:tc>
          <w:tcPr>
            <w:tcW w:w="3085" w:type="dxa"/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t xml:space="preserve">Nº de prioridad: </w:t>
            </w:r>
          </w:p>
        </w:tc>
        <w:tc>
          <w:tcPr>
            <w:tcW w:w="6237" w:type="dxa"/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3CF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83CF0">
              <w:rPr>
                <w:rFonts w:ascii="Arial" w:hAnsi="Arial" w:cs="Arial"/>
                <w:sz w:val="20"/>
                <w:szCs w:val="20"/>
              </w:rPr>
            </w:r>
            <w:r w:rsidRPr="00983CF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983CF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3CEE" w:rsidRPr="00983CF0">
        <w:tc>
          <w:tcPr>
            <w:tcW w:w="3085" w:type="dxa"/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t xml:space="preserve">Esfera de actividad propuesta: </w:t>
            </w:r>
          </w:p>
        </w:tc>
        <w:tc>
          <w:tcPr>
            <w:tcW w:w="6237" w:type="dxa"/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Salud Humana</w:t>
            </w:r>
          </w:p>
        </w:tc>
      </w:tr>
      <w:tr w:rsidR="00313CEE" w:rsidRPr="00983CF0">
        <w:tc>
          <w:tcPr>
            <w:tcW w:w="3085" w:type="dxa"/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t>Objetivo general:</w:t>
            </w:r>
            <w:r w:rsidRPr="00983CF0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6237" w:type="dxa"/>
          </w:tcPr>
          <w:p w:rsidR="00313CEE" w:rsidRPr="000F268E" w:rsidRDefault="00313CEE" w:rsidP="000F268E">
            <w:pPr>
              <w:pStyle w:val="Label2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0F268E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268E">
              <w:rPr>
                <w:sz w:val="20"/>
                <w:szCs w:val="20"/>
              </w:rPr>
              <w:instrText xml:space="preserve"> FORMTEXT </w:instrText>
            </w:r>
            <w:r w:rsidRPr="000F268E">
              <w:rPr>
                <w:sz w:val="20"/>
                <w:szCs w:val="20"/>
              </w:rPr>
            </w:r>
            <w:r w:rsidRPr="000F268E">
              <w:rPr>
                <w:sz w:val="20"/>
                <w:szCs w:val="20"/>
              </w:rPr>
              <w:fldChar w:fldCharType="separate"/>
            </w:r>
            <w:r w:rsidRPr="000F268E">
              <w:rPr>
                <w:b w:val="0"/>
                <w:bCs w:val="0"/>
                <w:sz w:val="20"/>
                <w:szCs w:val="20"/>
              </w:rPr>
              <w:t xml:space="preserve">Objetivo general: </w:t>
            </w:r>
          </w:p>
          <w:p w:rsidR="00313CEE" w:rsidRPr="000F268E" w:rsidRDefault="00313CEE" w:rsidP="000F268E">
            <w:pPr>
              <w:pStyle w:val="Label2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0F268E">
              <w:rPr>
                <w:b w:val="0"/>
                <w:bCs w:val="0"/>
                <w:sz w:val="20"/>
                <w:szCs w:val="20"/>
              </w:rPr>
              <w:t xml:space="preserve">Aumentar y mejorar la disponibilidad de profesionales relacionados con la </w:t>
            </w:r>
            <w:r>
              <w:rPr>
                <w:b w:val="0"/>
                <w:bCs w:val="0"/>
                <w:sz w:val="20"/>
                <w:szCs w:val="20"/>
              </w:rPr>
              <w:t>radiofarmacia</w:t>
            </w:r>
            <w:r w:rsidRPr="000F268E">
              <w:rPr>
                <w:b w:val="0"/>
                <w:bCs w:val="0"/>
                <w:sz w:val="20"/>
                <w:szCs w:val="20"/>
              </w:rPr>
              <w:t xml:space="preserve"> brindando oportunidades de </w:t>
            </w:r>
            <w:r>
              <w:rPr>
                <w:b w:val="0"/>
                <w:bCs w:val="0"/>
                <w:sz w:val="20"/>
                <w:szCs w:val="20"/>
              </w:rPr>
              <w:t xml:space="preserve">formación, </w:t>
            </w:r>
            <w:r w:rsidRPr="000F268E">
              <w:rPr>
                <w:b w:val="0"/>
                <w:bCs w:val="0"/>
                <w:sz w:val="20"/>
                <w:szCs w:val="20"/>
              </w:rPr>
              <w:t>evaluación y certificación, apoyando los esfuerzos nacionales de desarrollo profesional y de las especialidades relacionadas con la medicina nuclear</w:t>
            </w:r>
            <w:r>
              <w:rPr>
                <w:b w:val="0"/>
                <w:bCs w:val="0"/>
                <w:sz w:val="20"/>
                <w:szCs w:val="20"/>
              </w:rPr>
              <w:t xml:space="preserve"> en un contexto regional</w:t>
            </w:r>
            <w:r w:rsidRPr="000F268E">
              <w:rPr>
                <w:b w:val="0"/>
                <w:bCs w:val="0"/>
                <w:sz w:val="20"/>
                <w:szCs w:val="20"/>
              </w:rPr>
              <w:t>.</w:t>
            </w:r>
          </w:p>
          <w:p w:rsidR="00313CEE" w:rsidRPr="000F268E" w:rsidRDefault="00313CEE" w:rsidP="000F268E">
            <w:pPr>
              <w:pStyle w:val="Label2"/>
              <w:ind w:left="72" w:firstLine="0"/>
              <w:rPr>
                <w:b w:val="0"/>
                <w:bCs w:val="0"/>
                <w:sz w:val="20"/>
                <w:szCs w:val="20"/>
              </w:rPr>
            </w:pPr>
          </w:p>
          <w:p w:rsidR="00313CEE" w:rsidRPr="000F268E" w:rsidRDefault="00313CEE" w:rsidP="000F268E">
            <w:pPr>
              <w:pStyle w:val="Label2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0F268E">
              <w:rPr>
                <w:b w:val="0"/>
                <w:bCs w:val="0"/>
                <w:sz w:val="20"/>
                <w:szCs w:val="20"/>
              </w:rPr>
              <w:t xml:space="preserve">Objetivos específicos: </w:t>
            </w:r>
          </w:p>
          <w:p w:rsidR="00313CEE" w:rsidRPr="000F268E" w:rsidRDefault="00313CEE" w:rsidP="000F268E">
            <w:pPr>
              <w:pStyle w:val="Label2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0F268E">
              <w:rPr>
                <w:b w:val="0"/>
                <w:bCs w:val="0"/>
                <w:sz w:val="20"/>
                <w:szCs w:val="20"/>
              </w:rPr>
              <w:t>1.- Realizar un diagnóstico regional del estado de situación de los recursos humanos en todas las disciplinas relacionadas con la medicina nuclear</w:t>
            </w:r>
            <w:r>
              <w:rPr>
                <w:b w:val="0"/>
                <w:bCs w:val="0"/>
                <w:sz w:val="20"/>
                <w:szCs w:val="20"/>
              </w:rPr>
              <w:t>.</w:t>
            </w:r>
          </w:p>
          <w:p w:rsidR="00313CEE" w:rsidRPr="000F268E" w:rsidRDefault="00313CEE" w:rsidP="000F268E">
            <w:pPr>
              <w:pStyle w:val="Label2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0F268E">
              <w:rPr>
                <w:b w:val="0"/>
                <w:bCs w:val="0"/>
                <w:sz w:val="20"/>
                <w:szCs w:val="20"/>
              </w:rPr>
              <w:t>2.- Identificar a las entidades regionales, con más y mejores capacidades y mayor experiencia  en la formación de los profesionales especializados, para establecer una red de entidades de referencia para la formación, evaluación y certificación de Recursos Humanos.</w:t>
            </w:r>
          </w:p>
          <w:p w:rsidR="00313CEE" w:rsidRPr="000F268E" w:rsidRDefault="00313CEE" w:rsidP="000F268E">
            <w:pPr>
              <w:pStyle w:val="Label2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0F268E">
              <w:rPr>
                <w:b w:val="0"/>
                <w:bCs w:val="0"/>
                <w:sz w:val="20"/>
                <w:szCs w:val="20"/>
              </w:rPr>
              <w:t xml:space="preserve">3.- Definir una estrategia regional para la mejora de los recursos humanos que incluya la formación modular presencial, semi presencial o a distancia, incluyendo teleeducación, autoevaluación y evaluación continua, estableciendo también los criterios de certificación y acreditación regional. La estrategia estaría relacionada con dos aspectos principales, la formación básica </w:t>
            </w:r>
            <w:r>
              <w:rPr>
                <w:b w:val="0"/>
                <w:bCs w:val="0"/>
                <w:sz w:val="20"/>
                <w:szCs w:val="20"/>
              </w:rPr>
              <w:t xml:space="preserve">dirigida a las necesidades </w:t>
            </w:r>
            <w:r w:rsidRPr="000F268E">
              <w:rPr>
                <w:b w:val="0"/>
                <w:bCs w:val="0"/>
                <w:sz w:val="20"/>
                <w:szCs w:val="20"/>
              </w:rPr>
              <w:t>de la medicina nuclear y la actualización.</w:t>
            </w:r>
          </w:p>
          <w:p w:rsidR="00313CEE" w:rsidRPr="000F268E" w:rsidRDefault="00313CEE" w:rsidP="000F268E">
            <w:pPr>
              <w:pStyle w:val="Label2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0F268E">
              <w:rPr>
                <w:b w:val="0"/>
                <w:bCs w:val="0"/>
                <w:sz w:val="20"/>
                <w:szCs w:val="20"/>
              </w:rPr>
              <w:t>4.- Apoyar, a los países con menor desarrollo relativo o con más limitaciones, a desarrollar capacidades locales de formación de recursos humanos.</w:t>
            </w:r>
          </w:p>
          <w:p w:rsidR="00313CEE" w:rsidRPr="000F268E" w:rsidRDefault="00313CEE" w:rsidP="000F268E">
            <w:pPr>
              <w:pStyle w:val="Label2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0F268E">
              <w:rPr>
                <w:b w:val="0"/>
                <w:bCs w:val="0"/>
                <w:sz w:val="20"/>
                <w:szCs w:val="20"/>
              </w:rPr>
              <w:t xml:space="preserve">5.- Ampliar las capacidades de la </w:t>
            </w:r>
            <w:r w:rsidRPr="000F268E">
              <w:rPr>
                <w:b w:val="0"/>
                <w:bCs w:val="0"/>
                <w:i/>
                <w:iCs/>
                <w:sz w:val="20"/>
                <w:szCs w:val="20"/>
              </w:rPr>
              <w:t>“Red Latinoamericana para la Colaboración y Educación en Medicina Nuclear”</w:t>
            </w:r>
            <w:r w:rsidRPr="000F268E">
              <w:rPr>
                <w:b w:val="0"/>
                <w:bCs w:val="0"/>
                <w:sz w:val="20"/>
                <w:szCs w:val="20"/>
              </w:rPr>
              <w:t xml:space="preserve"> desarrollando un espacio virtual perdurable que ponga a disposición de los profesionales de la región herramientas de las tecnologías de información y comunicación (TIC) para su formación, certificación y acreditación. Y establecer en la red un registro regional de profesionales en formación, certificados y acreditados.</w:t>
            </w:r>
          </w:p>
          <w:p w:rsidR="00313CEE" w:rsidRPr="00983CF0" w:rsidRDefault="00313CEE" w:rsidP="000F268E">
            <w:pPr>
              <w:rPr>
                <w:rFonts w:ascii="Arial" w:hAnsi="Arial" w:cs="Arial"/>
                <w:sz w:val="20"/>
                <w:szCs w:val="20"/>
              </w:rPr>
            </w:pPr>
            <w:r w:rsidRPr="000F268E">
              <w:rPr>
                <w:rFonts w:ascii="Arial" w:hAnsi="Arial" w:cs="Arial"/>
                <w:sz w:val="20"/>
                <w:szCs w:val="20"/>
              </w:rPr>
              <w:t>6.- Recuperar a profesionales que accedieron a algún nivel de formación académica o empírica como parte de proyectos de cooperación, becas institucionales y esfuerzos personales pero que hoy están desvinculados de la actividad.</w:t>
            </w:r>
            <w:r w:rsidRPr="000F2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2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2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268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F268E">
              <w:rPr>
                <w:sz w:val="20"/>
                <w:szCs w:val="20"/>
              </w:rPr>
              <w:fldChar w:fldCharType="end"/>
            </w:r>
          </w:p>
        </w:tc>
      </w:tr>
      <w:tr w:rsidR="00313CEE" w:rsidRPr="00983CF0">
        <w:tc>
          <w:tcPr>
            <w:tcW w:w="3085" w:type="dxa"/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t xml:space="preserve">Resultado práctico previsto: </w:t>
            </w:r>
          </w:p>
        </w:tc>
        <w:tc>
          <w:tcPr>
            <w:tcW w:w="6237" w:type="dxa"/>
          </w:tcPr>
          <w:p w:rsidR="00313CEE" w:rsidRPr="00D9298A" w:rsidRDefault="00313CEE" w:rsidP="00D9298A">
            <w:pPr>
              <w:pStyle w:val="Label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D9298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298A">
              <w:rPr>
                <w:sz w:val="20"/>
                <w:szCs w:val="20"/>
              </w:rPr>
              <w:instrText xml:space="preserve"> FORMTEXT </w:instrText>
            </w:r>
            <w:r w:rsidRPr="00D9298A">
              <w:rPr>
                <w:sz w:val="20"/>
                <w:szCs w:val="20"/>
              </w:rPr>
            </w:r>
            <w:r w:rsidRPr="00D9298A">
              <w:rPr>
                <w:sz w:val="20"/>
                <w:szCs w:val="20"/>
              </w:rPr>
              <w:fldChar w:fldCharType="separate"/>
            </w:r>
            <w:r w:rsidRPr="00D9298A">
              <w:rPr>
                <w:b w:val="0"/>
                <w:bCs w:val="0"/>
                <w:sz w:val="20"/>
                <w:szCs w:val="20"/>
              </w:rPr>
              <w:t>Se ha evidenciado que una buena parte de los países de la región enfrentan dificultades en el establecimiento de condiciones adecuadas para la formación de sus recursos humanos</w:t>
            </w:r>
            <w:r>
              <w:rPr>
                <w:b w:val="0"/>
                <w:bCs w:val="0"/>
                <w:sz w:val="20"/>
                <w:szCs w:val="20"/>
              </w:rPr>
              <w:t xml:space="preserve"> de acuerdo a las regulaciones actuales. Mediante la integración a este proyecto varios</w:t>
            </w:r>
            <w:r w:rsidRPr="00D9298A">
              <w:rPr>
                <w:b w:val="0"/>
                <w:bCs w:val="0"/>
                <w:sz w:val="20"/>
                <w:szCs w:val="20"/>
              </w:rPr>
              <w:t xml:space="preserve"> países donde no es posible, localmente o a un costo razonable, cumplir con los requisitos exigidos para obtener </w:t>
            </w:r>
            <w:r>
              <w:rPr>
                <w:b w:val="0"/>
                <w:bCs w:val="0"/>
                <w:sz w:val="20"/>
                <w:szCs w:val="20"/>
              </w:rPr>
              <w:t>un</w:t>
            </w:r>
            <w:r w:rsidRPr="00D9298A">
              <w:rPr>
                <w:b w:val="0"/>
                <w:bCs w:val="0"/>
                <w:sz w:val="20"/>
                <w:szCs w:val="20"/>
              </w:rPr>
              <w:t xml:space="preserve"> título de la especialidad relacionada con la medicina nuclear.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D9298A">
              <w:rPr>
                <w:b w:val="0"/>
                <w:bCs w:val="0"/>
                <w:sz w:val="20"/>
                <w:szCs w:val="20"/>
              </w:rPr>
              <w:t>Además, existen profesionales que han desarrollado capacidades específicas de manera práctica pero no formal o que han recibido formación parcial y que no encuentran posibilidades de acreditar este conocimiento y acceder a una certificación formal que les faculte a acceder a mejores condiciones de trabajo.</w:t>
            </w:r>
          </w:p>
          <w:p w:rsidR="00313CEE" w:rsidRDefault="00313CEE" w:rsidP="00D9298A">
            <w:pPr>
              <w:pStyle w:val="Label"/>
              <w:ind w:left="72" w:firstLine="0"/>
              <w:rPr>
                <w:b w:val="0"/>
                <w:bCs w:val="0"/>
                <w:sz w:val="20"/>
                <w:szCs w:val="20"/>
              </w:rPr>
            </w:pPr>
            <w:r w:rsidRPr="00D9298A">
              <w:rPr>
                <w:b w:val="0"/>
                <w:bCs w:val="0"/>
                <w:sz w:val="20"/>
                <w:szCs w:val="20"/>
              </w:rPr>
              <w:t>Por otra parte, existe un conjunto de entidades de formación en la región que constituyen un capital valioso que puede ser mejor aprovechado si se vincula y se establecen mecanismos para el intercambio de experiencias en la formación de recursos humanos y definición de estándares básicos de formación regionales.</w:t>
            </w:r>
            <w:r>
              <w:rPr>
                <w:b w:val="0"/>
                <w:bCs w:val="0"/>
                <w:sz w:val="20"/>
                <w:szCs w:val="20"/>
              </w:rPr>
              <w:t xml:space="preserve"> Ya en Europa se maneja una especie e-learning en Radiofarmacia, ideas semejantes se han manejado en algunos países de la región, por lo que pudiera generarse con este proyecto el embrión de esa idea para la región.</w:t>
            </w:r>
          </w:p>
          <w:p w:rsidR="00313CEE" w:rsidRPr="00D9298A" w:rsidRDefault="00313CEE" w:rsidP="00D9298A">
            <w:pPr>
              <w:pStyle w:val="Label"/>
              <w:ind w:left="72"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La idea es de ineterés para instituciones en Argentina, Chile, Uruguay, Paraguay, Bolivia, Perú, Colombia, Brasil, Panamá, Costa Rica, Cuba, Nicaragua, Guatemala y México.</w:t>
            </w:r>
          </w:p>
          <w:p w:rsidR="00313CEE" w:rsidRPr="00D9298A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D9298A">
              <w:rPr>
                <w:sz w:val="20"/>
                <w:szCs w:val="20"/>
              </w:rPr>
              <w:fldChar w:fldCharType="end"/>
            </w:r>
          </w:p>
        </w:tc>
      </w:tr>
      <w:tr w:rsidR="00313CEE" w:rsidRPr="00983CF0">
        <w:trPr>
          <w:trHeight w:val="800"/>
        </w:trPr>
        <w:tc>
          <w:tcPr>
            <w:tcW w:w="3085" w:type="dxa"/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t>Enlace al marco de cooperación</w:t>
            </w:r>
            <w:r w:rsidRPr="00983CF0">
              <w:rPr>
                <w:rFonts w:ascii="Arial" w:hAnsi="Arial" w:cs="Arial"/>
                <w:sz w:val="20"/>
                <w:szCs w:val="20"/>
              </w:rPr>
              <w:br/>
              <w:t xml:space="preserve">  regional/prioridades de</w:t>
            </w:r>
            <w:r w:rsidRPr="00983CF0">
              <w:rPr>
                <w:rFonts w:ascii="Arial" w:hAnsi="Arial" w:cs="Arial"/>
                <w:sz w:val="20"/>
                <w:szCs w:val="20"/>
              </w:rPr>
              <w:br/>
              <w:t xml:space="preserve">  desarrollo regionales/</w:t>
            </w:r>
            <w:r w:rsidRPr="00983CF0">
              <w:rPr>
                <w:rFonts w:ascii="Arial" w:hAnsi="Arial" w:cs="Arial"/>
                <w:sz w:val="20"/>
                <w:szCs w:val="20"/>
              </w:rPr>
              <w:br/>
              <w:t xml:space="preserve">  Perfil Estratégico Regional:</w:t>
            </w:r>
          </w:p>
        </w:tc>
        <w:tc>
          <w:tcPr>
            <w:tcW w:w="6237" w:type="dxa"/>
          </w:tcPr>
          <w:p w:rsidR="00313CEE" w:rsidRPr="00D9298A" w:rsidRDefault="00313CE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298A">
              <w:rPr>
                <w:rFonts w:ascii="Arial" w:hAnsi="Arial" w:cs="Arial"/>
                <w:i/>
                <w:iCs/>
                <w:sz w:val="20"/>
                <w:szCs w:val="20"/>
              </w:rPr>
              <w:t>Sírvase proporcionar referencias específicas</w:t>
            </w:r>
          </w:p>
          <w:p w:rsidR="00313CEE" w:rsidRPr="00D9298A" w:rsidRDefault="00313CEE" w:rsidP="000F268E">
            <w:pPr>
              <w:rPr>
                <w:rFonts w:ascii="Arial" w:hAnsi="Arial" w:cs="Arial"/>
                <w:sz w:val="20"/>
                <w:szCs w:val="20"/>
              </w:rPr>
            </w:pPr>
            <w:r w:rsidRPr="00D9298A">
              <w:rPr>
                <w:rFonts w:ascii="Arial" w:hAnsi="Arial" w:cs="Arial"/>
                <w:sz w:val="20"/>
                <w:szCs w:val="20"/>
              </w:rPr>
              <w:t>S1: Mejorar la eficacia y calidad en el uso de las nuevas tecnologías para el diagnóstico y tratamiento de enfermedades.</w:t>
            </w:r>
          </w:p>
        </w:tc>
      </w:tr>
      <w:tr w:rsidR="00313CEE" w:rsidRPr="003E32D2">
        <w:tc>
          <w:tcPr>
            <w:tcW w:w="3085" w:type="dxa"/>
            <w:tcBorders>
              <w:bottom w:val="single" w:sz="12" w:space="0" w:color="auto"/>
            </w:tcBorders>
          </w:tcPr>
          <w:p w:rsidR="00313CEE" w:rsidRPr="00983CF0" w:rsidRDefault="00313CEE">
            <w:pPr>
              <w:rPr>
                <w:rFonts w:ascii="Arial" w:hAnsi="Arial" w:cs="Arial"/>
                <w:sz w:val="20"/>
                <w:szCs w:val="20"/>
              </w:rPr>
            </w:pPr>
            <w:r w:rsidRPr="00983CF0">
              <w:rPr>
                <w:rFonts w:ascii="Arial" w:hAnsi="Arial" w:cs="Arial"/>
                <w:sz w:val="20"/>
                <w:szCs w:val="20"/>
              </w:rPr>
              <w:t xml:space="preserve">Miembro designado del grupo </w:t>
            </w:r>
            <w:r w:rsidRPr="00983CF0">
              <w:rPr>
                <w:rFonts w:ascii="Arial" w:hAnsi="Arial" w:cs="Arial"/>
                <w:sz w:val="20"/>
                <w:szCs w:val="20"/>
              </w:rPr>
              <w:br/>
              <w:t xml:space="preserve">  y datos de contacto:</w:t>
            </w:r>
          </w:p>
        </w:tc>
        <w:tc>
          <w:tcPr>
            <w:tcW w:w="6237" w:type="dxa"/>
            <w:tcBorders>
              <w:bottom w:val="single" w:sz="12" w:space="0" w:color="auto"/>
            </w:tcBorders>
          </w:tcPr>
          <w:p w:rsidR="00313CEE" w:rsidRDefault="00313C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René Leyva Montaña, Centro de Isótopos</w:t>
            </w:r>
          </w:p>
          <w:p w:rsidR="00313CEE" w:rsidRDefault="00313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E32D2"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 w:rsidRPr="003E32D2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rene@centis.edu.cu</w:t>
              </w:r>
            </w:hyperlink>
            <w:r w:rsidRPr="003E32D2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hyperlink r:id="rId8" w:history="1">
              <w:r w:rsidRPr="008F4D2B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rene@ceniai.inf.cu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  <w:p w:rsidR="00313CEE" w:rsidRPr="003E32D2" w:rsidRDefault="00313CE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Telef: +53 52861132</w:t>
            </w:r>
            <w:bookmarkStart w:id="0" w:name="_GoBack"/>
            <w:bookmarkEnd w:id="0"/>
          </w:p>
        </w:tc>
      </w:tr>
    </w:tbl>
    <w:p w:rsidR="00313CEE" w:rsidRPr="003E32D2" w:rsidRDefault="00313CEE">
      <w:pPr>
        <w:rPr>
          <w:lang w:val="en-US"/>
        </w:rPr>
      </w:pPr>
    </w:p>
    <w:sectPr w:rsidR="00313CEE" w:rsidRPr="003E32D2" w:rsidSect="00653D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CEE" w:rsidRDefault="00313CEE" w:rsidP="00D34D10">
      <w:r>
        <w:separator/>
      </w:r>
    </w:p>
  </w:endnote>
  <w:endnote w:type="continuationSeparator" w:id="1">
    <w:p w:rsidR="00313CEE" w:rsidRDefault="00313CEE" w:rsidP="00D3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CEE" w:rsidRDefault="00313CEE" w:rsidP="00D34D10">
      <w:r>
        <w:separator/>
      </w:r>
    </w:p>
  </w:footnote>
  <w:footnote w:type="continuationSeparator" w:id="1">
    <w:p w:rsidR="00313CEE" w:rsidRDefault="00313CEE" w:rsidP="00D34D10">
      <w:r>
        <w:continuationSeparator/>
      </w:r>
    </w:p>
  </w:footnote>
  <w:footnote w:id="2">
    <w:p w:rsidR="00313CEE" w:rsidRDefault="00313CEE" w:rsidP="00D34D10">
      <w:pPr>
        <w:pStyle w:val="FootnoteText"/>
      </w:pPr>
      <w:r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Véanse las definiciones (en inglés únicamente) del glosario </w:t>
      </w:r>
      <w:hyperlink r:id="rId1" w:history="1">
        <w:r>
          <w:rPr>
            <w:rStyle w:val="Hyperlink"/>
            <w:rFonts w:ascii="Arial" w:hAnsi="Arial" w:cs="Arial"/>
            <w:sz w:val="18"/>
            <w:szCs w:val="18"/>
          </w:rPr>
          <w:t>TC ProgrammePlanning and DesignGlossary</w:t>
        </w:r>
      </w:hyperlink>
      <w:r>
        <w:rPr>
          <w:rFonts w:ascii="Arial" w:hAnsi="Arial" w:cs="Arial"/>
          <w:sz w:val="18"/>
          <w:szCs w:val="18"/>
        </w:rPr>
        <w:t xml:space="preserve"> del servicio de referencias del MGCP: </w:t>
      </w:r>
      <w:hyperlink r:id="rId2" w:history="1">
        <w:r>
          <w:rPr>
            <w:rStyle w:val="Hyperlink"/>
            <w:rFonts w:ascii="Arial" w:hAnsi="Arial" w:cs="Arial"/>
            <w:sz w:val="18"/>
            <w:szCs w:val="18"/>
          </w:rPr>
          <w:t>PCMF Reference Desk</w:t>
        </w:r>
      </w:hyperlink>
      <w:r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005EF"/>
    <w:multiLevelType w:val="hybridMultilevel"/>
    <w:tmpl w:val="9C42225E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D10"/>
    <w:rsid w:val="00060D71"/>
    <w:rsid w:val="000F268E"/>
    <w:rsid w:val="00226233"/>
    <w:rsid w:val="002B2EC1"/>
    <w:rsid w:val="00313CEE"/>
    <w:rsid w:val="003E32D2"/>
    <w:rsid w:val="00412409"/>
    <w:rsid w:val="00653D83"/>
    <w:rsid w:val="0078039D"/>
    <w:rsid w:val="008F4D2B"/>
    <w:rsid w:val="009455BD"/>
    <w:rsid w:val="00983CF0"/>
    <w:rsid w:val="00AA4CA7"/>
    <w:rsid w:val="00D34D10"/>
    <w:rsid w:val="00D9298A"/>
    <w:rsid w:val="00F07720"/>
    <w:rsid w:val="00F92441"/>
    <w:rsid w:val="00FE3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10"/>
    <w:rPr>
      <w:rFonts w:cs="Calibri"/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34D1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34D10"/>
    <w:rPr>
      <w:rFonts w:cs="Times New Roman"/>
      <w:sz w:val="20"/>
      <w:szCs w:val="20"/>
      <w:lang w:val="es-MX" w:eastAsia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34D10"/>
    <w:rPr>
      <w:rFonts w:ascii="Times New Roman" w:hAnsi="Times New Roman" w:cs="Times New Roman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rsid w:val="00D34D10"/>
    <w:rPr>
      <w:vertAlign w:val="superscript"/>
    </w:rPr>
  </w:style>
  <w:style w:type="paragraph" w:customStyle="1" w:styleId="Label2">
    <w:name w:val="Label 2"/>
    <w:basedOn w:val="Normal"/>
    <w:uiPriority w:val="99"/>
    <w:rsid w:val="000F268E"/>
    <w:pPr>
      <w:overflowPunct w:val="0"/>
      <w:autoSpaceDE w:val="0"/>
      <w:autoSpaceDN w:val="0"/>
      <w:adjustRightInd w:val="0"/>
      <w:ind w:left="567" w:hanging="425"/>
      <w:textAlignment w:val="baseline"/>
    </w:pPr>
    <w:rPr>
      <w:rFonts w:ascii="Arial" w:hAnsi="Arial" w:cs="Arial"/>
      <w:b/>
      <w:bCs/>
      <w:sz w:val="16"/>
      <w:szCs w:val="16"/>
      <w:lang w:eastAsia="en-GB"/>
    </w:rPr>
  </w:style>
  <w:style w:type="paragraph" w:customStyle="1" w:styleId="Label">
    <w:name w:val="Label"/>
    <w:basedOn w:val="Label2"/>
    <w:uiPriority w:val="99"/>
    <w:rsid w:val="00D929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5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e@ceniai.inf.c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e@centis.edu.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679</Words>
  <Characters>3738</Characters>
  <Application>Microsoft Office Outlook</Application>
  <DocSecurity>0</DocSecurity>
  <Lines>0</Lines>
  <Paragraphs>0</Paragraphs>
  <ScaleCrop>false</ScaleCrop>
  <Company>CENTIS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DE PROPUESTA DE PROYECTO REGIONAL</dc:title>
  <dc:subject/>
  <dc:creator>Berta García Rodríguez</dc:creator>
  <cp:keywords/>
  <dc:description/>
  <cp:lastModifiedBy>rene</cp:lastModifiedBy>
  <cp:revision>2</cp:revision>
  <dcterms:created xsi:type="dcterms:W3CDTF">2017-10-22T19:44:00Z</dcterms:created>
  <dcterms:modified xsi:type="dcterms:W3CDTF">2017-10-22T19:44:00Z</dcterms:modified>
</cp:coreProperties>
</file>